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FA08B" w14:textId="5BF88DE5" w:rsidR="00446D27" w:rsidRPr="00F169BC" w:rsidRDefault="00446D27" w:rsidP="00446D27">
      <w:pPr>
        <w:tabs>
          <w:tab w:val="center" w:pos="4536"/>
          <w:tab w:val="right" w:pos="8280"/>
          <w:tab w:val="right" w:pos="9639"/>
        </w:tabs>
        <w:ind w:right="2"/>
        <w:rPr>
          <w:b/>
          <w:bCs/>
        </w:rPr>
      </w:pPr>
      <w:r w:rsidRPr="00F169BC">
        <w:rPr>
          <w:b/>
          <w:bCs/>
        </w:rPr>
        <w:t>3GPP TSG RAN WG1 #100</w:t>
      </w:r>
      <w:r w:rsidR="00544D11">
        <w:rPr>
          <w:b/>
          <w:bCs/>
        </w:rPr>
        <w:t>-e</w:t>
      </w:r>
      <w:bookmarkStart w:id="0" w:name="_GoBack"/>
      <w:bookmarkEnd w:id="0"/>
      <w:r w:rsidRPr="00F169BC">
        <w:rPr>
          <w:b/>
          <w:bCs/>
        </w:rPr>
        <w:tab/>
      </w:r>
      <w:r w:rsidRPr="00F169BC">
        <w:rPr>
          <w:b/>
          <w:bCs/>
        </w:rPr>
        <w:tab/>
      </w:r>
      <w:r w:rsidRPr="00F169BC">
        <w:rPr>
          <w:b/>
          <w:bCs/>
        </w:rPr>
        <w:tab/>
        <w:t>R1-200</w:t>
      </w:r>
      <w:r w:rsidR="007A4103">
        <w:rPr>
          <w:b/>
          <w:bCs/>
        </w:rPr>
        <w:t>0851</w:t>
      </w:r>
    </w:p>
    <w:p w14:paraId="49C683B7" w14:textId="473FDF63" w:rsidR="00136C56" w:rsidRPr="00F169BC" w:rsidRDefault="00EA6EDB" w:rsidP="00F169BC">
      <w:pPr>
        <w:tabs>
          <w:tab w:val="center" w:pos="4536"/>
          <w:tab w:val="right" w:pos="9072"/>
        </w:tabs>
        <w:rPr>
          <w:rFonts w:eastAsia="MS Mincho"/>
          <w:b/>
          <w:bCs/>
          <w:lang w:eastAsia="ja-JP"/>
        </w:rPr>
      </w:pPr>
      <w:r>
        <w:rPr>
          <w:rFonts w:eastAsia="MS Mincho"/>
          <w:b/>
          <w:bCs/>
          <w:lang w:eastAsia="ja-JP"/>
        </w:rPr>
        <w:t>e-Meeting</w:t>
      </w:r>
      <w:r w:rsidR="00446D27" w:rsidRPr="00F169BC">
        <w:rPr>
          <w:rFonts w:eastAsia="MS Mincho"/>
          <w:b/>
          <w:bCs/>
          <w:lang w:eastAsia="ja-JP"/>
        </w:rPr>
        <w:t>, February 24</w:t>
      </w:r>
      <w:r w:rsidR="00446D27" w:rsidRPr="00F169BC">
        <w:rPr>
          <w:rFonts w:eastAsia="MS Mincho"/>
          <w:b/>
          <w:bCs/>
          <w:vertAlign w:val="superscript"/>
          <w:lang w:eastAsia="ja-JP"/>
        </w:rPr>
        <w:t>th</w:t>
      </w:r>
      <w:r w:rsidR="00446D27" w:rsidRPr="00F169BC">
        <w:rPr>
          <w:rFonts w:eastAsia="MS Mincho"/>
          <w:b/>
          <w:bCs/>
          <w:lang w:eastAsia="ja-JP"/>
        </w:rPr>
        <w:t xml:space="preserve"> – </w:t>
      </w:r>
      <w:r>
        <w:rPr>
          <w:rFonts w:eastAsia="MS Mincho"/>
          <w:b/>
          <w:bCs/>
          <w:lang w:eastAsia="ja-JP"/>
        </w:rPr>
        <w:t>March 6</w:t>
      </w:r>
      <w:r w:rsidR="00446D27" w:rsidRPr="00F169BC">
        <w:rPr>
          <w:rFonts w:eastAsia="MS Mincho"/>
          <w:b/>
          <w:bCs/>
          <w:vertAlign w:val="superscript"/>
          <w:lang w:eastAsia="ja-JP"/>
        </w:rPr>
        <w:t>th</w:t>
      </w:r>
      <w:r w:rsidR="00446D27" w:rsidRPr="00F169BC">
        <w:rPr>
          <w:rFonts w:eastAsia="MS Mincho"/>
          <w:b/>
          <w:bCs/>
          <w:lang w:eastAsia="ja-JP"/>
        </w:rPr>
        <w:t>, 2020</w:t>
      </w:r>
    </w:p>
    <w:p w14:paraId="44F23991" w14:textId="77777777" w:rsidR="00F169BC" w:rsidRDefault="00F169BC" w:rsidP="00311702">
      <w:pPr>
        <w:pStyle w:val="3GPPHeader"/>
      </w:pPr>
    </w:p>
    <w:p w14:paraId="5FB7E722" w14:textId="49044C5C" w:rsidR="00E90E49" w:rsidRPr="005906EB" w:rsidRDefault="00E90E49" w:rsidP="00311702">
      <w:pPr>
        <w:pStyle w:val="3GPPHeader"/>
      </w:pPr>
      <w:r w:rsidRPr="005906EB">
        <w:t>Agenda Item:</w:t>
      </w:r>
      <w:r w:rsidRPr="005906EB">
        <w:tab/>
      </w:r>
      <w:r w:rsidR="002E63F4" w:rsidRPr="005906EB">
        <w:t>7.</w:t>
      </w:r>
      <w:r w:rsidR="008A4C42" w:rsidRPr="005906EB">
        <w:t>2</w:t>
      </w:r>
      <w:r w:rsidR="002E63F4" w:rsidRPr="005906EB">
        <w:t>.</w:t>
      </w:r>
      <w:r w:rsidR="00827761" w:rsidRPr="005906EB">
        <w:t>4</w:t>
      </w:r>
      <w:r w:rsidR="008A4C42" w:rsidRPr="005906EB">
        <w:t>.</w:t>
      </w:r>
      <w:r w:rsidR="002D497B" w:rsidRPr="005906EB">
        <w:t>2.1</w:t>
      </w:r>
    </w:p>
    <w:p w14:paraId="2D2AF385" w14:textId="5863517E" w:rsidR="00E90E49" w:rsidRPr="005906EB" w:rsidRDefault="003D3C45" w:rsidP="00F64C2B">
      <w:pPr>
        <w:pStyle w:val="3GPPHeader"/>
      </w:pPr>
      <w:r w:rsidRPr="005906EB">
        <w:t>Source:</w:t>
      </w:r>
      <w:r w:rsidR="00E90E49" w:rsidRPr="005906EB">
        <w:tab/>
      </w:r>
      <w:r w:rsidR="00F12DE8" w:rsidRPr="005906EB">
        <w:t>Apple</w:t>
      </w:r>
    </w:p>
    <w:p w14:paraId="64D45340" w14:textId="0F1F317E" w:rsidR="00531215" w:rsidRPr="005906EB" w:rsidRDefault="003D3C45" w:rsidP="00311702">
      <w:pPr>
        <w:pStyle w:val="3GPPHeader"/>
      </w:pPr>
      <w:r w:rsidRPr="005906EB">
        <w:t>Title:</w:t>
      </w:r>
      <w:r w:rsidR="00E90E49" w:rsidRPr="005906EB">
        <w:tab/>
      </w:r>
      <w:r w:rsidR="00446D27">
        <w:t>Remaining Details o</w:t>
      </w:r>
      <w:r w:rsidR="00CF7F94" w:rsidRPr="005906EB">
        <w:t>n Mode 1 Resource Allocation</w:t>
      </w:r>
    </w:p>
    <w:p w14:paraId="4C4FA8C4" w14:textId="77777777" w:rsidR="00E90E49" w:rsidRPr="005906EB" w:rsidRDefault="00D52012" w:rsidP="00396685">
      <w:pPr>
        <w:pStyle w:val="3GPPHeader"/>
      </w:pPr>
      <w:r w:rsidRPr="005906EB">
        <w:t>Document for:</w:t>
      </w:r>
      <w:r w:rsidRPr="005906EB">
        <w:tab/>
        <w:t>Discussion/</w:t>
      </w:r>
      <w:r w:rsidR="00E90E49" w:rsidRPr="005906EB">
        <w:t>Decision</w:t>
      </w:r>
    </w:p>
    <w:p w14:paraId="3E96BFCD" w14:textId="1C835B6A" w:rsidR="00342E02" w:rsidRDefault="00E90E49" w:rsidP="00342E02">
      <w:pPr>
        <w:pStyle w:val="Heading1"/>
      </w:pPr>
      <w:r w:rsidRPr="00A6576F">
        <w:t>Introduction</w:t>
      </w:r>
    </w:p>
    <w:p w14:paraId="2DEF4ECB" w14:textId="0C9F79B4" w:rsidR="00446D27" w:rsidRDefault="00446D27" w:rsidP="00446D27">
      <w:pPr>
        <w:jc w:val="both"/>
      </w:pPr>
      <w:r>
        <w:t xml:space="preserve">The Release-16 NR V2X specifications were approved in Dec. 2019 </w:t>
      </w:r>
      <w:r>
        <w:fldChar w:fldCharType="begin"/>
      </w:r>
      <w:r>
        <w:instrText xml:space="preserve"> REF _Ref20471832 \r \h </w:instrText>
      </w:r>
      <w:r>
        <w:fldChar w:fldCharType="separate"/>
      </w:r>
      <w:r w:rsidR="009A18A9">
        <w:t>[1]</w:t>
      </w:r>
      <w:r>
        <w:fldChar w:fldCharType="end"/>
      </w:r>
      <w:r>
        <w:t xml:space="preserve">. There are still some remaining tasks for NR V2X, which were identified in </w:t>
      </w:r>
      <w:r>
        <w:fldChar w:fldCharType="begin"/>
      </w:r>
      <w:r>
        <w:instrText xml:space="preserve"> REF _Ref29545847 \r \h </w:instrText>
      </w:r>
      <w:r>
        <w:fldChar w:fldCharType="separate"/>
      </w:r>
      <w:r w:rsidR="009A18A9">
        <w:t>[2]</w:t>
      </w:r>
      <w:r>
        <w:fldChar w:fldCharType="end"/>
      </w:r>
      <w:r>
        <w:t>.</w:t>
      </w:r>
    </w:p>
    <w:p w14:paraId="49221F9B" w14:textId="77777777" w:rsidR="00B62833" w:rsidRPr="00446D27" w:rsidRDefault="00B62833" w:rsidP="00446D27"/>
    <w:p w14:paraId="6914B841" w14:textId="5DB3D77E" w:rsidR="00805EE1" w:rsidRPr="001E7281" w:rsidRDefault="00664811" w:rsidP="00CF7F94">
      <w:pPr>
        <w:jc w:val="both"/>
      </w:pPr>
      <w:r>
        <w:t xml:space="preserve">In this contribution, we </w:t>
      </w:r>
      <w:r w:rsidR="009A18A9">
        <w:t xml:space="preserve">discuss the details on some of the identified remaining tasks, including </w:t>
      </w:r>
      <w:r w:rsidR="005611C9">
        <w:t xml:space="preserve">DCI </w:t>
      </w:r>
      <w:r w:rsidR="009A18A9">
        <w:t xml:space="preserve">contents, DCI format size alignment, </w:t>
      </w:r>
      <w:r w:rsidR="00CF7F94">
        <w:t>sidelink HARQ feedback</w:t>
      </w:r>
      <w:r w:rsidR="005611C9">
        <w:t xml:space="preserve"> </w:t>
      </w:r>
      <w:r w:rsidR="007823BE">
        <w:t xml:space="preserve">report </w:t>
      </w:r>
      <w:r w:rsidR="005611C9">
        <w:t>to gNB</w:t>
      </w:r>
      <w:r w:rsidR="00E72914">
        <w:t>,</w:t>
      </w:r>
      <w:r w:rsidR="007823BE">
        <w:t xml:space="preserve"> </w:t>
      </w:r>
      <w:r w:rsidR="009A18A9">
        <w:t xml:space="preserve">multiplexing multiple sidelink HARQ, </w:t>
      </w:r>
      <w:r w:rsidR="00E72914">
        <w:t>as well as</w:t>
      </w:r>
      <w:r w:rsidR="00CF7F94">
        <w:t xml:space="preserve"> </w:t>
      </w:r>
      <w:r w:rsidR="009A18A9">
        <w:t>HARQ process ID determination for configured grant</w:t>
      </w:r>
      <w:r>
        <w:t xml:space="preserve">. </w:t>
      </w:r>
    </w:p>
    <w:p w14:paraId="18D88D75" w14:textId="0BAA0E71" w:rsidR="00446D27" w:rsidRPr="00446D27" w:rsidRDefault="00EA5A5B" w:rsidP="00446D27">
      <w:pPr>
        <w:pStyle w:val="Heading1"/>
      </w:pPr>
      <w:r>
        <w:t>Discussion</w:t>
      </w:r>
    </w:p>
    <w:p w14:paraId="00F48961" w14:textId="3772B382" w:rsidR="00446D27" w:rsidRPr="00446D27" w:rsidRDefault="00446D27" w:rsidP="00446D27">
      <w:pPr>
        <w:pStyle w:val="Heading2"/>
        <w:ind w:left="720" w:hanging="720"/>
        <w:rPr>
          <w:sz w:val="28"/>
        </w:rPr>
      </w:pPr>
      <w:r>
        <w:rPr>
          <w:sz w:val="28"/>
        </w:rPr>
        <w:t>DCI contents</w:t>
      </w:r>
      <w:r>
        <w:rPr>
          <w:sz w:val="28"/>
        </w:rPr>
        <w:tab/>
      </w:r>
    </w:p>
    <w:p w14:paraId="5EC32BCC" w14:textId="53869E57" w:rsidR="00446D27" w:rsidRDefault="00446D27" w:rsidP="00CD73BE">
      <w:pPr>
        <w:jc w:val="both"/>
        <w:rPr>
          <w:iCs/>
        </w:rPr>
      </w:pPr>
      <w:r w:rsidRPr="00446D27">
        <w:rPr>
          <w:iCs/>
        </w:rPr>
        <w:t>The DCI format 3_0 is defined for gNB schedul</w:t>
      </w:r>
      <w:r w:rsidR="009A18A9">
        <w:rPr>
          <w:iCs/>
        </w:rPr>
        <w:t>ing NR</w:t>
      </w:r>
      <w:r w:rsidRPr="00446D27">
        <w:rPr>
          <w:iCs/>
        </w:rPr>
        <w:t xml:space="preserve"> sidelink transmissions. </w:t>
      </w:r>
      <w:r>
        <w:rPr>
          <w:iCs/>
        </w:rPr>
        <w:t xml:space="preserve">The fields of DCI format 3_0 include: Time gap; HARQ process ID; NDI; </w:t>
      </w:r>
      <w:r w:rsidR="009A18A9">
        <w:rPr>
          <w:iCs/>
        </w:rPr>
        <w:t>l</w:t>
      </w:r>
      <w:r>
        <w:rPr>
          <w:iCs/>
        </w:rPr>
        <w:t xml:space="preserve">owest sub-channel index of the initial transmission; SCI format 0_1 fields of frequency and time resource assignment; PSFCH-to-HARQ feedback timing indicator; </w:t>
      </w:r>
      <w:r w:rsidR="009A18A9">
        <w:rPr>
          <w:iCs/>
        </w:rPr>
        <w:t>c</w:t>
      </w:r>
      <w:r>
        <w:rPr>
          <w:iCs/>
        </w:rPr>
        <w:t>onfiguration index. The bit size</w:t>
      </w:r>
      <w:r w:rsidR="009254C3">
        <w:rPr>
          <w:iCs/>
        </w:rPr>
        <w:t>s</w:t>
      </w:r>
      <w:r>
        <w:rPr>
          <w:iCs/>
        </w:rPr>
        <w:t xml:space="preserve"> of time gap, HARQ process ID, and configuration index fields ha</w:t>
      </w:r>
      <w:r w:rsidR="009254C3">
        <w:rPr>
          <w:iCs/>
        </w:rPr>
        <w:t>ve</w:t>
      </w:r>
      <w:r>
        <w:rPr>
          <w:iCs/>
        </w:rPr>
        <w:t xml:space="preserve"> not been specified. </w:t>
      </w:r>
    </w:p>
    <w:p w14:paraId="00618C1B" w14:textId="77777777" w:rsidR="00446D27" w:rsidRDefault="00446D27" w:rsidP="00CD73BE">
      <w:pPr>
        <w:jc w:val="both"/>
        <w:rPr>
          <w:iCs/>
        </w:rPr>
      </w:pPr>
    </w:p>
    <w:p w14:paraId="7A21728B" w14:textId="127B0958" w:rsidR="00446D27" w:rsidRDefault="00446D27" w:rsidP="00CD73BE">
      <w:pPr>
        <w:jc w:val="both"/>
        <w:rPr>
          <w:iCs/>
        </w:rPr>
      </w:pPr>
      <w:r>
        <w:rPr>
          <w:iCs/>
        </w:rPr>
        <w:t xml:space="preserve">The time gap field provides an index into a slot offset table given by higher layer parameter. In our view, this slot offset table can have up to 8 entries, and hence, 3 bits are used for this field. Like in NR Uu, up to 16 HARQ processes for sidelink can be supported, and 4 bits are used for the HARQ process ID field. In LTE V2X, a maximum of 8 sidelink SPS configurations are supported. In NR </w:t>
      </w:r>
      <w:r w:rsidR="0091625A">
        <w:rPr>
          <w:iCs/>
        </w:rPr>
        <w:t>V2X</w:t>
      </w:r>
      <w:r>
        <w:rPr>
          <w:iCs/>
        </w:rPr>
        <w:t xml:space="preserve">, a maximum of </w:t>
      </w:r>
      <w:r w:rsidR="0091625A">
        <w:rPr>
          <w:iCs/>
        </w:rPr>
        <w:t>8</w:t>
      </w:r>
      <w:r>
        <w:rPr>
          <w:iCs/>
        </w:rPr>
        <w:t xml:space="preserve"> configured grants are supported. Hence, it is </w:t>
      </w:r>
      <w:r w:rsidR="0091625A">
        <w:rPr>
          <w:iCs/>
        </w:rPr>
        <w:t>natural to use</w:t>
      </w:r>
      <w:r>
        <w:rPr>
          <w:iCs/>
        </w:rPr>
        <w:t xml:space="preserve"> </w:t>
      </w:r>
      <w:r w:rsidR="0091625A">
        <w:rPr>
          <w:iCs/>
        </w:rPr>
        <w:t>3</w:t>
      </w:r>
      <w:r>
        <w:rPr>
          <w:iCs/>
        </w:rPr>
        <w:t xml:space="preserve"> bits for the configuration index field. </w:t>
      </w:r>
    </w:p>
    <w:p w14:paraId="49543A02" w14:textId="77777777" w:rsidR="00446D27" w:rsidRDefault="00446D27" w:rsidP="00CD73BE">
      <w:pPr>
        <w:jc w:val="both"/>
        <w:rPr>
          <w:i/>
        </w:rPr>
      </w:pPr>
    </w:p>
    <w:p w14:paraId="6E6CFDE5" w14:textId="770790D7" w:rsidR="00446D27" w:rsidRDefault="00446D27" w:rsidP="00CD73BE">
      <w:pPr>
        <w:rPr>
          <w:i/>
          <w:iCs/>
          <w:szCs w:val="20"/>
          <w:lang w:eastAsia="x-none"/>
        </w:rPr>
      </w:pPr>
      <w:r w:rsidRPr="001C381A">
        <w:rPr>
          <w:b/>
          <w:i/>
          <w:u w:val="single"/>
        </w:rPr>
        <w:t>Proposal</w:t>
      </w:r>
      <w:r>
        <w:rPr>
          <w:b/>
          <w:i/>
          <w:u w:val="single"/>
        </w:rPr>
        <w:t xml:space="preserve"> 1</w:t>
      </w:r>
      <w:r w:rsidRPr="001C381A">
        <w:rPr>
          <w:b/>
          <w:i/>
          <w:u w:val="single"/>
        </w:rPr>
        <w:t>:</w:t>
      </w:r>
      <w:r w:rsidRPr="001C381A">
        <w:rPr>
          <w:i/>
        </w:rPr>
        <w:t xml:space="preserve"> </w:t>
      </w:r>
      <w:r>
        <w:rPr>
          <w:i/>
        </w:rPr>
        <w:t xml:space="preserve">In DCI format 3_0, the field of </w:t>
      </w:r>
      <w:r w:rsidRPr="00446D27">
        <w:rPr>
          <w:i/>
          <w:iCs/>
          <w:szCs w:val="20"/>
          <w:lang w:eastAsia="x-none"/>
        </w:rPr>
        <w:t>HARQ process ID</w:t>
      </w:r>
      <w:r>
        <w:rPr>
          <w:i/>
          <w:iCs/>
          <w:szCs w:val="20"/>
          <w:lang w:eastAsia="x-none"/>
        </w:rPr>
        <w:t xml:space="preserve"> has 4 bits; the field of time gap has 3 bits; the field of configuration index has </w:t>
      </w:r>
      <w:r w:rsidR="0091625A">
        <w:rPr>
          <w:i/>
          <w:iCs/>
          <w:szCs w:val="20"/>
          <w:lang w:eastAsia="x-none"/>
        </w:rPr>
        <w:t>3</w:t>
      </w:r>
      <w:r>
        <w:rPr>
          <w:i/>
          <w:iCs/>
          <w:szCs w:val="20"/>
          <w:lang w:eastAsia="x-none"/>
        </w:rPr>
        <w:t xml:space="preserve"> bits.</w:t>
      </w:r>
    </w:p>
    <w:p w14:paraId="08290914" w14:textId="3811E652" w:rsidR="00446D27" w:rsidRDefault="00446D27" w:rsidP="00CD73BE">
      <w:pPr>
        <w:rPr>
          <w:i/>
          <w:iCs/>
          <w:szCs w:val="20"/>
          <w:lang w:eastAsia="x-none"/>
        </w:rPr>
      </w:pPr>
    </w:p>
    <w:p w14:paraId="62B069FD" w14:textId="4E473DF5" w:rsidR="00446D27" w:rsidRDefault="00446D27" w:rsidP="00446D27">
      <w:pPr>
        <w:jc w:val="both"/>
        <w:rPr>
          <w:szCs w:val="20"/>
          <w:lang w:eastAsia="x-none"/>
        </w:rPr>
      </w:pPr>
      <w:r>
        <w:rPr>
          <w:szCs w:val="20"/>
          <w:lang w:eastAsia="x-none"/>
        </w:rPr>
        <w:t xml:space="preserve">The DCI format 3_0 is used to activate or release type 2 sidelink configured grant. </w:t>
      </w:r>
      <w:r w:rsidR="009A18A9">
        <w:rPr>
          <w:szCs w:val="20"/>
          <w:lang w:eastAsia="x-none"/>
        </w:rPr>
        <w:t>Similar to</w:t>
      </w:r>
      <w:r>
        <w:rPr>
          <w:szCs w:val="20"/>
          <w:lang w:eastAsia="x-none"/>
        </w:rPr>
        <w:t xml:space="preserve"> NR type 2 uplink configured grant, the activation or release of type 2 sidelink configured grant can be validated by special fields of DCI format 3_0. For example, the HARQ process ID field in DCI format 3_0 could be all 0’s for activating or releasing type 2 sidelink configured grant. </w:t>
      </w:r>
    </w:p>
    <w:p w14:paraId="7036CD3A" w14:textId="77777777" w:rsidR="00446D27" w:rsidRDefault="00446D27" w:rsidP="00446D27">
      <w:pPr>
        <w:jc w:val="both"/>
        <w:rPr>
          <w:szCs w:val="20"/>
          <w:lang w:eastAsia="x-none"/>
        </w:rPr>
      </w:pPr>
    </w:p>
    <w:p w14:paraId="21BDBBD2" w14:textId="73974600" w:rsidR="00446D27" w:rsidRDefault="00446D27" w:rsidP="00446D27">
      <w:pPr>
        <w:jc w:val="both"/>
        <w:rPr>
          <w:szCs w:val="20"/>
          <w:lang w:eastAsia="x-none"/>
        </w:rPr>
      </w:pPr>
      <w:r>
        <w:rPr>
          <w:szCs w:val="20"/>
          <w:lang w:eastAsia="x-none"/>
        </w:rPr>
        <w:t xml:space="preserve">Furthermore, it is assumed that a valid SCI format 0_1 field of frequency resource assignment cannot be all 1’s (cf. </w:t>
      </w:r>
      <w:r>
        <w:rPr>
          <w:szCs w:val="20"/>
          <w:lang w:eastAsia="x-none"/>
        </w:rPr>
        <w:fldChar w:fldCharType="begin"/>
      </w:r>
      <w:r>
        <w:rPr>
          <w:szCs w:val="20"/>
          <w:lang w:eastAsia="x-none"/>
        </w:rPr>
        <w:instrText xml:space="preserve"> REF _Ref30167377 \r \h </w:instrText>
      </w:r>
      <w:r>
        <w:rPr>
          <w:szCs w:val="20"/>
          <w:lang w:eastAsia="x-none"/>
        </w:rPr>
      </w:r>
      <w:r>
        <w:rPr>
          <w:szCs w:val="20"/>
          <w:lang w:eastAsia="x-none"/>
        </w:rPr>
        <w:fldChar w:fldCharType="separate"/>
      </w:r>
      <w:r w:rsidR="009A18A9">
        <w:rPr>
          <w:szCs w:val="20"/>
          <w:lang w:eastAsia="x-none"/>
        </w:rPr>
        <w:t>[3]</w:t>
      </w:r>
      <w:r>
        <w:rPr>
          <w:szCs w:val="20"/>
          <w:lang w:eastAsia="x-none"/>
        </w:rPr>
        <w:fldChar w:fldCharType="end"/>
      </w:r>
      <w:r>
        <w:rPr>
          <w:szCs w:val="20"/>
          <w:lang w:eastAsia="x-none"/>
        </w:rPr>
        <w:t>). Hence, the distinguish between activation and release of a type 2 sidelink configured grant is achieved by checking whether the SCI format 0_1 field of frequency resource assignment is all 1’s or not.</w:t>
      </w:r>
      <w:r w:rsidR="009A18A9">
        <w:rPr>
          <w:szCs w:val="20"/>
          <w:lang w:eastAsia="x-none"/>
        </w:rPr>
        <w:t xml:space="preserve"> If this field is all 1’s, then the DCI format 3_0 is considered to release a </w:t>
      </w:r>
      <w:r w:rsidR="009A18A9">
        <w:rPr>
          <w:szCs w:val="20"/>
          <w:lang w:eastAsia="x-none"/>
        </w:rPr>
        <w:lastRenderedPageBreak/>
        <w:t xml:space="preserve">type 2 sidelink configured grant. Otherwise, the DCI format 3_0 is considered to activate a type 2 sidelink configured grant. </w:t>
      </w:r>
    </w:p>
    <w:p w14:paraId="760AEC65" w14:textId="77777777" w:rsidR="00446D27" w:rsidRPr="00446D27" w:rsidRDefault="00446D27" w:rsidP="00446D27">
      <w:pPr>
        <w:jc w:val="both"/>
        <w:rPr>
          <w:szCs w:val="20"/>
          <w:lang w:eastAsia="x-none"/>
        </w:rPr>
      </w:pPr>
    </w:p>
    <w:p w14:paraId="20BC8453" w14:textId="63F02694" w:rsidR="00446D27" w:rsidRDefault="00446D27" w:rsidP="00446D27">
      <w:pPr>
        <w:jc w:val="both"/>
        <w:rPr>
          <w:i/>
          <w:iCs/>
          <w:szCs w:val="20"/>
          <w:lang w:eastAsia="x-none"/>
        </w:rPr>
      </w:pPr>
      <w:r w:rsidRPr="001C381A">
        <w:rPr>
          <w:b/>
          <w:i/>
          <w:u w:val="single"/>
        </w:rPr>
        <w:t>Proposal</w:t>
      </w:r>
      <w:r>
        <w:rPr>
          <w:b/>
          <w:i/>
          <w:u w:val="single"/>
        </w:rPr>
        <w:t xml:space="preserve"> 2</w:t>
      </w:r>
      <w:r w:rsidRPr="001C381A">
        <w:rPr>
          <w:b/>
          <w:i/>
          <w:u w:val="single"/>
        </w:rPr>
        <w:t>:</w:t>
      </w:r>
      <w:r w:rsidRPr="001C381A">
        <w:rPr>
          <w:i/>
        </w:rPr>
        <w:t xml:space="preserve"> </w:t>
      </w:r>
      <w:r>
        <w:rPr>
          <w:i/>
        </w:rPr>
        <w:t xml:space="preserve">To validate </w:t>
      </w:r>
      <w:r w:rsidR="00204605">
        <w:rPr>
          <w:i/>
        </w:rPr>
        <w:t xml:space="preserve">activating </w:t>
      </w:r>
      <w:r>
        <w:rPr>
          <w:i/>
        </w:rPr>
        <w:t>a type 2 sidelink configured grant in DCI format 3_0, the HARQ process ID is all 0’s and SCI format 0</w:t>
      </w:r>
      <w:r w:rsidR="009A18A9">
        <w:rPr>
          <w:i/>
        </w:rPr>
        <w:t>_</w:t>
      </w:r>
      <w:r>
        <w:rPr>
          <w:i/>
        </w:rPr>
        <w:t xml:space="preserve">1 field of frequency resource assignment is not all 1’s. To validate </w:t>
      </w:r>
      <w:r w:rsidR="00204605">
        <w:rPr>
          <w:i/>
        </w:rPr>
        <w:t xml:space="preserve">releasing </w:t>
      </w:r>
      <w:r>
        <w:rPr>
          <w:i/>
        </w:rPr>
        <w:t xml:space="preserve">a type 2 sidelink configured grant in DCI format 3_0, the HARQ process ID is all 0’s and SCI format 0_1 field of frequency resource assignment is all 1’s.   </w:t>
      </w:r>
    </w:p>
    <w:p w14:paraId="2170226B" w14:textId="77777777" w:rsidR="00446D27" w:rsidRPr="00446D27" w:rsidRDefault="00446D27" w:rsidP="00CD73BE">
      <w:pPr>
        <w:rPr>
          <w:i/>
          <w:iCs/>
          <w:szCs w:val="20"/>
          <w:lang w:eastAsia="x-none"/>
        </w:rPr>
      </w:pPr>
    </w:p>
    <w:p w14:paraId="67882695" w14:textId="77777777" w:rsidR="00446D27" w:rsidRPr="00302FC8" w:rsidRDefault="00446D27" w:rsidP="00446D27">
      <w:pPr>
        <w:pStyle w:val="Heading2"/>
        <w:ind w:left="720" w:hanging="720"/>
        <w:rPr>
          <w:sz w:val="28"/>
        </w:rPr>
      </w:pPr>
      <w:r>
        <w:rPr>
          <w:sz w:val="28"/>
        </w:rPr>
        <w:t xml:space="preserve">DCI format size alignment </w:t>
      </w:r>
    </w:p>
    <w:p w14:paraId="6D3CFDB0" w14:textId="02AE62D9" w:rsidR="00446D27" w:rsidRDefault="00446D27" w:rsidP="00446D27">
      <w:pPr>
        <w:jc w:val="both"/>
        <w:rPr>
          <w:szCs w:val="20"/>
          <w:lang w:eastAsia="x-none"/>
        </w:rPr>
      </w:pPr>
      <w:r>
        <w:rPr>
          <w:szCs w:val="20"/>
          <w:lang w:eastAsia="x-none"/>
        </w:rPr>
        <w:t xml:space="preserve">It was working assumption </w:t>
      </w:r>
      <w:r>
        <w:rPr>
          <w:szCs w:val="20"/>
          <w:lang w:eastAsia="x-none"/>
        </w:rPr>
        <w:fldChar w:fldCharType="begin"/>
      </w:r>
      <w:r>
        <w:rPr>
          <w:szCs w:val="20"/>
          <w:lang w:eastAsia="x-none"/>
        </w:rPr>
        <w:instrText xml:space="preserve"> REF _Ref23931654 \r \h </w:instrText>
      </w:r>
      <w:r>
        <w:rPr>
          <w:szCs w:val="20"/>
          <w:lang w:eastAsia="x-none"/>
        </w:rPr>
      </w:r>
      <w:r>
        <w:rPr>
          <w:szCs w:val="20"/>
          <w:lang w:eastAsia="x-none"/>
        </w:rPr>
        <w:fldChar w:fldCharType="separate"/>
      </w:r>
      <w:r w:rsidR="009A18A9">
        <w:rPr>
          <w:szCs w:val="20"/>
          <w:lang w:eastAsia="x-none"/>
        </w:rPr>
        <w:t>[4]</w:t>
      </w:r>
      <w:r>
        <w:rPr>
          <w:szCs w:val="20"/>
          <w:lang w:eastAsia="x-none"/>
        </w:rPr>
        <w:fldChar w:fldCharType="end"/>
      </w:r>
      <w:r>
        <w:rPr>
          <w:szCs w:val="20"/>
          <w:lang w:eastAsia="x-none"/>
        </w:rPr>
        <w:t xml:space="preserve"> that t</w:t>
      </w:r>
      <w:r w:rsidRPr="00C92649">
        <w:rPr>
          <w:szCs w:val="20"/>
          <w:lang w:eastAsia="x-none"/>
        </w:rPr>
        <w:t>he size of DCI format</w:t>
      </w:r>
      <w:r>
        <w:rPr>
          <w:szCs w:val="20"/>
          <w:lang w:eastAsia="x-none"/>
        </w:rPr>
        <w:t xml:space="preserve"> 3_0</w:t>
      </w:r>
      <w:r w:rsidRPr="00C92649">
        <w:rPr>
          <w:szCs w:val="20"/>
          <w:lang w:eastAsia="x-none"/>
        </w:rPr>
        <w:t xml:space="preserve"> and the size of one of the existing NR DCI formats are aligned.</w:t>
      </w:r>
      <w:r>
        <w:rPr>
          <w:szCs w:val="20"/>
          <w:lang w:eastAsia="x-none"/>
        </w:rPr>
        <w:t xml:space="preserve"> It </w:t>
      </w:r>
      <w:r w:rsidR="00E72EFA">
        <w:rPr>
          <w:szCs w:val="20"/>
          <w:lang w:eastAsia="x-none"/>
        </w:rPr>
        <w:t>is open to</w:t>
      </w:r>
      <w:r>
        <w:rPr>
          <w:szCs w:val="20"/>
          <w:lang w:eastAsia="x-none"/>
        </w:rPr>
        <w:t xml:space="preserve"> which existing NR DCI format the DCI format 3_0 is aligned. </w:t>
      </w:r>
    </w:p>
    <w:p w14:paraId="16002660" w14:textId="1F3FD1D7" w:rsidR="00446D27" w:rsidRDefault="00446D27" w:rsidP="00446D27">
      <w:pPr>
        <w:jc w:val="both"/>
        <w:rPr>
          <w:szCs w:val="20"/>
          <w:lang w:eastAsia="x-none"/>
        </w:rPr>
      </w:pPr>
    </w:p>
    <w:p w14:paraId="6E61F234" w14:textId="0BF07E71" w:rsidR="00446D27" w:rsidRDefault="00446D27" w:rsidP="00446D27">
      <w:pPr>
        <w:jc w:val="both"/>
        <w:rPr>
          <w:szCs w:val="20"/>
          <w:lang w:eastAsia="x-none"/>
        </w:rPr>
      </w:pPr>
      <w:r>
        <w:rPr>
          <w:szCs w:val="20"/>
          <w:lang w:eastAsia="x-none"/>
        </w:rPr>
        <w:t xml:space="preserve">It is </w:t>
      </w:r>
      <w:r w:rsidR="00E72EFA">
        <w:rPr>
          <w:szCs w:val="20"/>
          <w:lang w:eastAsia="x-none"/>
        </w:rPr>
        <w:t>beneficial</w:t>
      </w:r>
      <w:r>
        <w:rPr>
          <w:szCs w:val="20"/>
          <w:lang w:eastAsia="x-none"/>
        </w:rPr>
        <w:t xml:space="preserve"> to align DCI format 3_0 to an existing DCI format with similar payload size. </w:t>
      </w:r>
      <w:r w:rsidR="00E72EFA">
        <w:rPr>
          <w:szCs w:val="20"/>
          <w:lang w:eastAsia="x-none"/>
        </w:rPr>
        <w:t>With the known</w:t>
      </w:r>
      <w:r>
        <w:rPr>
          <w:szCs w:val="20"/>
          <w:lang w:eastAsia="x-none"/>
        </w:rPr>
        <w:t xml:space="preserve"> DCI format 3_0</w:t>
      </w:r>
      <w:r w:rsidR="00E72EFA">
        <w:rPr>
          <w:szCs w:val="20"/>
          <w:lang w:eastAsia="x-none"/>
        </w:rPr>
        <w:t xml:space="preserve"> contents</w:t>
      </w:r>
      <w:r>
        <w:rPr>
          <w:szCs w:val="20"/>
          <w:lang w:eastAsia="x-none"/>
        </w:rPr>
        <w:t xml:space="preserve">, we think DCI format 3_0 has </w:t>
      </w:r>
      <w:r w:rsidR="00E72EFA">
        <w:rPr>
          <w:szCs w:val="20"/>
          <w:lang w:eastAsia="x-none"/>
        </w:rPr>
        <w:t>a</w:t>
      </w:r>
      <w:r>
        <w:rPr>
          <w:szCs w:val="20"/>
          <w:lang w:eastAsia="x-none"/>
        </w:rPr>
        <w:t xml:space="preserve"> similar payload size as DCI format 0_0</w:t>
      </w:r>
      <w:r w:rsidR="00E72EFA">
        <w:rPr>
          <w:szCs w:val="20"/>
          <w:lang w:eastAsia="x-none"/>
        </w:rPr>
        <w:t>. The payload size alignment between DCI format 3_0 and DCI format 0_0 is achievable by z</w:t>
      </w:r>
      <w:r>
        <w:rPr>
          <w:szCs w:val="20"/>
          <w:lang w:eastAsia="x-none"/>
        </w:rPr>
        <w:t xml:space="preserve">ero padding. </w:t>
      </w:r>
    </w:p>
    <w:p w14:paraId="372D24AE" w14:textId="4FD1F185" w:rsidR="00446D27" w:rsidRDefault="00446D27" w:rsidP="00446D27">
      <w:pPr>
        <w:jc w:val="both"/>
        <w:rPr>
          <w:szCs w:val="20"/>
          <w:lang w:eastAsia="x-none"/>
        </w:rPr>
      </w:pPr>
    </w:p>
    <w:p w14:paraId="367DFBFB" w14:textId="1FD6EFF1" w:rsidR="00446D27" w:rsidRPr="00446D27" w:rsidRDefault="00446D27" w:rsidP="00446D27">
      <w:pPr>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sidRPr="00186C28">
        <w:rPr>
          <w:i/>
        </w:rPr>
        <w:t>The</w:t>
      </w:r>
      <w:r>
        <w:rPr>
          <w:i/>
        </w:rPr>
        <w:t xml:space="preserve"> NR</w:t>
      </w:r>
      <w:r w:rsidRPr="00186C28">
        <w:rPr>
          <w:i/>
        </w:rPr>
        <w:t xml:space="preserve"> DCI </w:t>
      </w:r>
      <w:r>
        <w:rPr>
          <w:i/>
        </w:rPr>
        <w:t xml:space="preserve">format 3_0 should be payload size aligned to NR DCI format 0_0 via zero-padding. </w:t>
      </w:r>
    </w:p>
    <w:p w14:paraId="6CB87170" w14:textId="77777777" w:rsidR="00446D27" w:rsidRPr="00CD73BE" w:rsidRDefault="00446D27" w:rsidP="00CD73BE"/>
    <w:p w14:paraId="157B61EA" w14:textId="68932A20" w:rsidR="00CD73BE" w:rsidRDefault="00CD73BE" w:rsidP="00CD73BE">
      <w:pPr>
        <w:pStyle w:val="Heading2"/>
        <w:ind w:left="720" w:hanging="720"/>
        <w:rPr>
          <w:sz w:val="28"/>
        </w:rPr>
      </w:pPr>
      <w:r>
        <w:rPr>
          <w:sz w:val="28"/>
        </w:rPr>
        <w:t xml:space="preserve">Sidelink HARQ feedback </w:t>
      </w:r>
      <w:r w:rsidR="00DF7DAF">
        <w:rPr>
          <w:sz w:val="28"/>
        </w:rPr>
        <w:t xml:space="preserve">report </w:t>
      </w:r>
      <w:r>
        <w:rPr>
          <w:sz w:val="28"/>
        </w:rPr>
        <w:t>to gNB</w:t>
      </w:r>
    </w:p>
    <w:p w14:paraId="70C40103" w14:textId="7258067E" w:rsidR="00446D27" w:rsidRPr="00446D27" w:rsidRDefault="00446D27" w:rsidP="00446D27">
      <w:pPr>
        <w:pStyle w:val="Heading3"/>
      </w:pPr>
      <w:r>
        <w:t>PUCCH resource for report</w:t>
      </w:r>
    </w:p>
    <w:p w14:paraId="0802E3DE" w14:textId="115C884A" w:rsidR="007B616D" w:rsidRDefault="007823BE" w:rsidP="00E6737A">
      <w:pPr>
        <w:jc w:val="both"/>
      </w:pPr>
      <w:r>
        <w:t>I</w:t>
      </w:r>
      <w:r w:rsidR="00E6737A">
        <w:t xml:space="preserve">t was agreed </w:t>
      </w:r>
      <w:r w:rsidR="00446D27">
        <w:fldChar w:fldCharType="begin"/>
      </w:r>
      <w:r w:rsidR="00446D27">
        <w:instrText xml:space="preserve"> REF _Ref30168902 \r \h </w:instrText>
      </w:r>
      <w:r w:rsidR="00446D27">
        <w:fldChar w:fldCharType="separate"/>
      </w:r>
      <w:r w:rsidR="009A18A9">
        <w:t>[5]</w:t>
      </w:r>
      <w:r w:rsidR="00446D27">
        <w:fldChar w:fldCharType="end"/>
      </w:r>
      <w:r w:rsidR="00446D27">
        <w:t xml:space="preserve"> </w:t>
      </w:r>
      <w:r w:rsidR="00E6737A">
        <w:t xml:space="preserve">that in a </w:t>
      </w:r>
      <w:r w:rsidR="00E72EFA">
        <w:t xml:space="preserve">sidelink </w:t>
      </w:r>
      <w:r w:rsidR="00E6737A">
        <w:t>configured grant when using sidelink HARQ feedback,</w:t>
      </w:r>
      <w:r w:rsidR="007B616D">
        <w:t xml:space="preserve"> there is only one HARQ-ACK bit for the configured grant and there is one PUCCH transmission occasion after the last resource. This design is to save uplink transmission</w:t>
      </w:r>
      <w:r w:rsidR="007A1D4D">
        <w:t xml:space="preserve"> </w:t>
      </w:r>
      <w:r w:rsidR="00204605">
        <w:t>resources</w:t>
      </w:r>
      <w:r w:rsidR="007B616D">
        <w:t xml:space="preserve"> at the cost of potential sidelink resource waste. </w:t>
      </w:r>
    </w:p>
    <w:p w14:paraId="3BED0D37" w14:textId="19B4DB91" w:rsidR="00E6737A" w:rsidRDefault="00E6737A" w:rsidP="00E6737A">
      <w:pPr>
        <w:jc w:val="both"/>
      </w:pPr>
    </w:p>
    <w:p w14:paraId="0AA94D5F" w14:textId="1A3BEC92" w:rsidR="00E72EFA" w:rsidRDefault="007B616D" w:rsidP="00562A67">
      <w:pPr>
        <w:jc w:val="both"/>
      </w:pPr>
      <w:r>
        <w:t xml:space="preserve">In our view, the similar mechanism can be extended to </w:t>
      </w:r>
      <w:r w:rsidR="00E72EFA">
        <w:t xml:space="preserve">sidelink </w:t>
      </w:r>
      <w:r>
        <w:t>dynamic grant as well</w:t>
      </w:r>
      <w:r w:rsidR="00562A67">
        <w:t xml:space="preserve">, i.e., </w:t>
      </w:r>
      <w:r w:rsidR="007A1D4D">
        <w:t xml:space="preserve">when using sidelink HARQ feedback, </w:t>
      </w:r>
      <w:r w:rsidR="00562A67">
        <w:t xml:space="preserve">there is only one HARQ-ACK bit for a </w:t>
      </w:r>
      <w:r w:rsidR="00E72EFA">
        <w:t xml:space="preserve">sidelink </w:t>
      </w:r>
      <w:r w:rsidR="00562A67">
        <w:t>dynamic</w:t>
      </w:r>
      <w:r w:rsidR="000A2C89">
        <w:t xml:space="preserve"> </w:t>
      </w:r>
      <w:r w:rsidR="00562A67">
        <w:t>grant and there is one PUCCH transmission occasion after the last</w:t>
      </w:r>
      <w:r w:rsidR="007A1D4D">
        <w:t xml:space="preserve"> </w:t>
      </w:r>
      <w:r w:rsidR="000A2C89">
        <w:t xml:space="preserve">granted </w:t>
      </w:r>
      <w:r w:rsidR="007A1D4D">
        <w:t>sidelink</w:t>
      </w:r>
      <w:r w:rsidR="00562A67">
        <w:t xml:space="preserve"> resource.</w:t>
      </w:r>
      <w:r w:rsidR="00E72EFA">
        <w:t xml:space="preserve"> The disadvantages of allocating multiple PUCCH transmission occasions in a sidelink dynamic grant are listed below: </w:t>
      </w:r>
    </w:p>
    <w:p w14:paraId="4172F825" w14:textId="77777777" w:rsidR="00E72EFA" w:rsidRDefault="00E72EFA" w:rsidP="00562A67">
      <w:pPr>
        <w:jc w:val="both"/>
      </w:pPr>
    </w:p>
    <w:p w14:paraId="3E93AE43" w14:textId="697170A6" w:rsidR="00E72EFA" w:rsidRPr="00E72EFA" w:rsidRDefault="007B616D" w:rsidP="00204605">
      <w:pPr>
        <w:pStyle w:val="ListParagraph"/>
        <w:numPr>
          <w:ilvl w:val="0"/>
          <w:numId w:val="35"/>
        </w:numPr>
        <w:jc w:val="both"/>
        <w:rPr>
          <w:iCs/>
        </w:rPr>
      </w:pPr>
      <w:r w:rsidRPr="00E72EFA">
        <w:rPr>
          <w:rFonts w:ascii="Times New Roman" w:hAnsi="Times New Roman"/>
          <w:sz w:val="24"/>
          <w:szCs w:val="24"/>
        </w:rPr>
        <w:t xml:space="preserve">The </w:t>
      </w:r>
      <w:r w:rsidR="00E72EFA" w:rsidRPr="00E72EFA">
        <w:rPr>
          <w:rFonts w:ascii="Times New Roman" w:hAnsi="Times New Roman"/>
          <w:sz w:val="24"/>
          <w:szCs w:val="24"/>
        </w:rPr>
        <w:t xml:space="preserve">PUCCH </w:t>
      </w:r>
      <w:r w:rsidRPr="00E72EFA">
        <w:rPr>
          <w:rFonts w:ascii="Times New Roman" w:hAnsi="Times New Roman"/>
          <w:sz w:val="24"/>
          <w:szCs w:val="24"/>
        </w:rPr>
        <w:t xml:space="preserve">resource and timing (for sidelink HARQ report) need to be indicated in the DCI scheduling sidelink grant. If a single DCI </w:t>
      </w:r>
      <w:r w:rsidR="00562A67" w:rsidRPr="00E72EFA">
        <w:rPr>
          <w:rFonts w:ascii="Times New Roman" w:hAnsi="Times New Roman"/>
          <w:sz w:val="24"/>
          <w:szCs w:val="24"/>
        </w:rPr>
        <w:t>for</w:t>
      </w:r>
      <w:r w:rsidRPr="00E72EFA">
        <w:rPr>
          <w:rFonts w:ascii="Times New Roman" w:hAnsi="Times New Roman"/>
          <w:sz w:val="24"/>
          <w:szCs w:val="24"/>
        </w:rPr>
        <w:t xml:space="preserve"> </w:t>
      </w:r>
      <w:r w:rsidR="00E72EFA" w:rsidRPr="00E72EFA">
        <w:rPr>
          <w:rFonts w:ascii="Times New Roman" w:hAnsi="Times New Roman"/>
          <w:sz w:val="24"/>
          <w:szCs w:val="24"/>
        </w:rPr>
        <w:t xml:space="preserve">sidelink </w:t>
      </w:r>
      <w:r w:rsidRPr="00E72EFA">
        <w:rPr>
          <w:rFonts w:ascii="Times New Roman" w:hAnsi="Times New Roman"/>
          <w:sz w:val="24"/>
          <w:szCs w:val="24"/>
        </w:rPr>
        <w:t>dynamic grant schedul</w:t>
      </w:r>
      <w:r w:rsidR="00E72EFA" w:rsidRPr="00E72EFA">
        <w:rPr>
          <w:rFonts w:ascii="Times New Roman" w:hAnsi="Times New Roman"/>
          <w:sz w:val="24"/>
          <w:szCs w:val="24"/>
        </w:rPr>
        <w:t>es</w:t>
      </w:r>
      <w:r w:rsidRPr="00E72EFA">
        <w:rPr>
          <w:rFonts w:ascii="Times New Roman" w:hAnsi="Times New Roman"/>
          <w:sz w:val="24"/>
          <w:szCs w:val="24"/>
        </w:rPr>
        <w:t xml:space="preserve"> multiple sidelink transmissions </w:t>
      </w:r>
      <w:r w:rsidR="00562A67" w:rsidRPr="00E72EFA">
        <w:rPr>
          <w:rFonts w:ascii="Times New Roman" w:hAnsi="Times New Roman"/>
          <w:sz w:val="24"/>
          <w:szCs w:val="24"/>
        </w:rPr>
        <w:t xml:space="preserve">as well as </w:t>
      </w:r>
      <w:r w:rsidR="00E72EFA" w:rsidRPr="00E72EFA">
        <w:rPr>
          <w:rFonts w:ascii="Times New Roman" w:hAnsi="Times New Roman"/>
          <w:sz w:val="24"/>
          <w:szCs w:val="24"/>
        </w:rPr>
        <w:t>multiple</w:t>
      </w:r>
      <w:r w:rsidR="00562A67" w:rsidRPr="00E72EFA">
        <w:rPr>
          <w:rFonts w:ascii="Times New Roman" w:hAnsi="Times New Roman"/>
          <w:sz w:val="24"/>
          <w:szCs w:val="24"/>
        </w:rPr>
        <w:t xml:space="preserve"> corresponding PUCCH transmissions, </w:t>
      </w:r>
      <w:r w:rsidR="00E72EFA" w:rsidRPr="00E72EFA">
        <w:rPr>
          <w:rFonts w:ascii="Times New Roman" w:hAnsi="Times New Roman"/>
          <w:sz w:val="24"/>
          <w:szCs w:val="24"/>
        </w:rPr>
        <w:t>the DCI</w:t>
      </w:r>
      <w:r w:rsidR="00562A67" w:rsidRPr="00E72EFA">
        <w:rPr>
          <w:rFonts w:ascii="Times New Roman" w:hAnsi="Times New Roman"/>
          <w:sz w:val="24"/>
          <w:szCs w:val="24"/>
        </w:rPr>
        <w:t xml:space="preserve"> </w:t>
      </w:r>
      <w:r w:rsidR="00E72EFA" w:rsidRPr="00E72EFA">
        <w:rPr>
          <w:rFonts w:ascii="Times New Roman" w:hAnsi="Times New Roman"/>
          <w:sz w:val="24"/>
          <w:szCs w:val="24"/>
        </w:rPr>
        <w:t>payload size becomes</w:t>
      </w:r>
      <w:r w:rsidR="00562A67" w:rsidRPr="00E72EFA">
        <w:rPr>
          <w:rFonts w:ascii="Times New Roman" w:hAnsi="Times New Roman"/>
          <w:sz w:val="24"/>
          <w:szCs w:val="24"/>
        </w:rPr>
        <w:t xml:space="preserve"> large</w:t>
      </w:r>
      <w:r w:rsidR="00204605">
        <w:rPr>
          <w:rFonts w:ascii="Times New Roman" w:hAnsi="Times New Roman"/>
          <w:sz w:val="24"/>
          <w:szCs w:val="24"/>
        </w:rPr>
        <w:t>r</w:t>
      </w:r>
      <w:r w:rsidR="00562A67" w:rsidRPr="00E72EFA">
        <w:rPr>
          <w:rFonts w:ascii="Times New Roman" w:hAnsi="Times New Roman"/>
          <w:sz w:val="24"/>
          <w:szCs w:val="24"/>
        </w:rPr>
        <w:t>.</w:t>
      </w:r>
      <w:r w:rsidR="00E72EFA" w:rsidRPr="00E72EFA">
        <w:rPr>
          <w:rFonts w:ascii="Times New Roman" w:hAnsi="Times New Roman"/>
          <w:sz w:val="24"/>
          <w:szCs w:val="24"/>
        </w:rPr>
        <w:t xml:space="preserve"> </w:t>
      </w:r>
      <w:r w:rsidR="00204605">
        <w:rPr>
          <w:rFonts w:ascii="Times New Roman" w:hAnsi="Times New Roman"/>
          <w:sz w:val="24"/>
          <w:szCs w:val="24"/>
        </w:rPr>
        <w:t xml:space="preserve">This also breaks the unified design of DCI format for both dynamic grant and type 2 configured grant.  </w:t>
      </w:r>
    </w:p>
    <w:p w14:paraId="5BA0C95C" w14:textId="77116E72" w:rsidR="00E72EFA" w:rsidRPr="00E72EFA" w:rsidRDefault="00E72EFA" w:rsidP="006461D8">
      <w:pPr>
        <w:pStyle w:val="ListParagraph"/>
        <w:numPr>
          <w:ilvl w:val="0"/>
          <w:numId w:val="35"/>
        </w:numPr>
        <w:jc w:val="both"/>
        <w:rPr>
          <w:rFonts w:ascii="Times New Roman" w:hAnsi="Times New Roman"/>
          <w:iCs/>
          <w:sz w:val="24"/>
          <w:szCs w:val="24"/>
        </w:rPr>
      </w:pPr>
      <w:r w:rsidRPr="00E72EFA">
        <w:rPr>
          <w:rFonts w:ascii="Times New Roman" w:hAnsi="Times New Roman"/>
          <w:iCs/>
          <w:sz w:val="24"/>
          <w:szCs w:val="24"/>
        </w:rPr>
        <w:t xml:space="preserve">The one-to-one mapping between </w:t>
      </w:r>
      <w:r w:rsidR="006461D8" w:rsidRPr="00E72EFA">
        <w:rPr>
          <w:rFonts w:ascii="Times New Roman" w:hAnsi="Times New Roman"/>
          <w:iCs/>
          <w:sz w:val="24"/>
          <w:szCs w:val="24"/>
        </w:rPr>
        <w:t xml:space="preserve">PUCCH </w:t>
      </w:r>
      <w:r w:rsidRPr="00E72EFA">
        <w:rPr>
          <w:rFonts w:ascii="Times New Roman" w:hAnsi="Times New Roman"/>
          <w:iCs/>
          <w:sz w:val="24"/>
          <w:szCs w:val="24"/>
        </w:rPr>
        <w:t>transmission and PSFCH reception is unnecessary. Consider an example where a DCI schedules multiple PSSCH resources for sidelink (re)transmissions. I</w:t>
      </w:r>
      <w:r w:rsidR="006461D8" w:rsidRPr="00E72EFA">
        <w:rPr>
          <w:rFonts w:ascii="Times New Roman" w:hAnsi="Times New Roman"/>
          <w:iCs/>
          <w:sz w:val="24"/>
          <w:szCs w:val="24"/>
        </w:rPr>
        <w:t xml:space="preserve">f </w:t>
      </w:r>
      <w:r w:rsidR="00204605">
        <w:rPr>
          <w:rFonts w:ascii="Times New Roman" w:hAnsi="Times New Roman"/>
          <w:iCs/>
          <w:sz w:val="24"/>
          <w:szCs w:val="24"/>
        </w:rPr>
        <w:t xml:space="preserve">sidelink </w:t>
      </w:r>
      <w:r w:rsidRPr="00E72EFA">
        <w:rPr>
          <w:rFonts w:ascii="Times New Roman" w:hAnsi="Times New Roman"/>
          <w:iCs/>
          <w:sz w:val="24"/>
          <w:szCs w:val="24"/>
        </w:rPr>
        <w:t xml:space="preserve">HARQ-NACK is received for the initial PSSCH transmission, the report of sidelink HARQ-NACK to gNB does not </w:t>
      </w:r>
      <w:r w:rsidR="00204605">
        <w:rPr>
          <w:rFonts w:ascii="Times New Roman" w:hAnsi="Times New Roman"/>
          <w:iCs/>
          <w:sz w:val="24"/>
          <w:szCs w:val="24"/>
        </w:rPr>
        <w:t xml:space="preserve">necessarily </w:t>
      </w:r>
      <w:r w:rsidRPr="00E72EFA">
        <w:rPr>
          <w:rFonts w:ascii="Times New Roman" w:hAnsi="Times New Roman"/>
          <w:iCs/>
          <w:sz w:val="24"/>
          <w:szCs w:val="24"/>
        </w:rPr>
        <w:t xml:space="preserve">trigger a new sidelink grant since the remaining PSSCH resources </w:t>
      </w:r>
      <w:r w:rsidR="00204605">
        <w:rPr>
          <w:rFonts w:ascii="Times New Roman" w:hAnsi="Times New Roman"/>
          <w:iCs/>
          <w:sz w:val="24"/>
          <w:szCs w:val="24"/>
        </w:rPr>
        <w:t xml:space="preserve">scheduled </w:t>
      </w:r>
      <w:r w:rsidRPr="00E72EFA">
        <w:rPr>
          <w:rFonts w:ascii="Times New Roman" w:hAnsi="Times New Roman"/>
          <w:iCs/>
          <w:sz w:val="24"/>
          <w:szCs w:val="24"/>
        </w:rPr>
        <w:t xml:space="preserve">in the </w:t>
      </w:r>
      <w:r w:rsidR="00204605">
        <w:rPr>
          <w:rFonts w:ascii="Times New Roman" w:hAnsi="Times New Roman"/>
          <w:iCs/>
          <w:sz w:val="24"/>
          <w:szCs w:val="24"/>
        </w:rPr>
        <w:t xml:space="preserve">initial </w:t>
      </w:r>
      <w:r w:rsidRPr="00E72EFA">
        <w:rPr>
          <w:rFonts w:ascii="Times New Roman" w:hAnsi="Times New Roman"/>
          <w:iCs/>
          <w:sz w:val="24"/>
          <w:szCs w:val="24"/>
        </w:rPr>
        <w:t>DCI can still be used for the sidelink retransmissions.</w:t>
      </w:r>
    </w:p>
    <w:p w14:paraId="5CFA0948" w14:textId="03D56CCF" w:rsidR="00403D24" w:rsidRPr="00E72EFA" w:rsidRDefault="00E72EFA" w:rsidP="006461D8">
      <w:pPr>
        <w:pStyle w:val="ListParagraph"/>
        <w:numPr>
          <w:ilvl w:val="0"/>
          <w:numId w:val="35"/>
        </w:numPr>
        <w:jc w:val="both"/>
        <w:rPr>
          <w:rFonts w:ascii="Times New Roman" w:hAnsi="Times New Roman"/>
          <w:iCs/>
          <w:sz w:val="24"/>
          <w:szCs w:val="24"/>
        </w:rPr>
      </w:pPr>
      <w:r w:rsidRPr="00E72EFA">
        <w:rPr>
          <w:rFonts w:ascii="Times New Roman" w:hAnsi="Times New Roman"/>
          <w:iCs/>
          <w:sz w:val="24"/>
          <w:szCs w:val="24"/>
        </w:rPr>
        <w:t>T</w:t>
      </w:r>
      <w:r w:rsidR="00562A67" w:rsidRPr="00E72EFA">
        <w:rPr>
          <w:rFonts w:ascii="Times New Roman" w:hAnsi="Times New Roman"/>
          <w:iCs/>
          <w:sz w:val="24"/>
          <w:szCs w:val="24"/>
        </w:rPr>
        <w:t xml:space="preserve">he multiple transmissions on PUCCH per </w:t>
      </w:r>
      <w:r w:rsidRPr="00E72EFA">
        <w:rPr>
          <w:rFonts w:ascii="Times New Roman" w:hAnsi="Times New Roman"/>
          <w:iCs/>
          <w:sz w:val="24"/>
          <w:szCs w:val="24"/>
        </w:rPr>
        <w:t xml:space="preserve">sidelink </w:t>
      </w:r>
      <w:r w:rsidR="00562A67" w:rsidRPr="00E72EFA">
        <w:rPr>
          <w:rFonts w:ascii="Times New Roman" w:hAnsi="Times New Roman"/>
          <w:iCs/>
          <w:sz w:val="24"/>
          <w:szCs w:val="24"/>
        </w:rPr>
        <w:t xml:space="preserve">dynamic grant will affect UE’s </w:t>
      </w:r>
      <w:r w:rsidR="0019130D" w:rsidRPr="00E72EFA">
        <w:rPr>
          <w:rFonts w:ascii="Times New Roman" w:hAnsi="Times New Roman"/>
          <w:iCs/>
          <w:sz w:val="24"/>
          <w:szCs w:val="24"/>
        </w:rPr>
        <w:t xml:space="preserve">sidelink channel monitoring. </w:t>
      </w:r>
      <w:r w:rsidR="00B07CF9" w:rsidRPr="00E72EFA">
        <w:rPr>
          <w:rFonts w:ascii="Times New Roman" w:hAnsi="Times New Roman"/>
          <w:iCs/>
          <w:sz w:val="24"/>
          <w:szCs w:val="24"/>
        </w:rPr>
        <w:t>Without</w:t>
      </w:r>
      <w:r w:rsidR="0019130D" w:rsidRPr="00E72EFA">
        <w:rPr>
          <w:rFonts w:ascii="Times New Roman" w:hAnsi="Times New Roman"/>
          <w:iCs/>
          <w:sz w:val="24"/>
          <w:szCs w:val="24"/>
        </w:rPr>
        <w:t xml:space="preserve"> sidelink channel sensing report </w:t>
      </w:r>
      <w:r w:rsidR="00B07CF9" w:rsidRPr="00E72EFA">
        <w:rPr>
          <w:rFonts w:ascii="Times New Roman" w:hAnsi="Times New Roman"/>
          <w:iCs/>
          <w:sz w:val="24"/>
          <w:szCs w:val="24"/>
        </w:rPr>
        <w:t>from UEs, a gNB is unable to make efficient scheduling if a</w:t>
      </w:r>
      <w:r w:rsidR="0019130D" w:rsidRPr="00E72EFA">
        <w:rPr>
          <w:rFonts w:ascii="Times New Roman" w:hAnsi="Times New Roman"/>
          <w:iCs/>
          <w:sz w:val="24"/>
          <w:szCs w:val="24"/>
        </w:rPr>
        <w:t xml:space="preserve"> </w:t>
      </w:r>
      <w:r w:rsidR="00562A67" w:rsidRPr="00E72EFA">
        <w:rPr>
          <w:rFonts w:ascii="Times New Roman" w:hAnsi="Times New Roman"/>
          <w:iCs/>
          <w:sz w:val="24"/>
          <w:szCs w:val="24"/>
        </w:rPr>
        <w:t>resource pool</w:t>
      </w:r>
      <w:r w:rsidR="00B07CF9" w:rsidRPr="00E72EFA">
        <w:rPr>
          <w:rFonts w:ascii="Times New Roman" w:hAnsi="Times New Roman"/>
          <w:iCs/>
          <w:sz w:val="24"/>
          <w:szCs w:val="24"/>
        </w:rPr>
        <w:t xml:space="preserve"> is</w:t>
      </w:r>
      <w:r w:rsidR="00562A67" w:rsidRPr="00E72EFA">
        <w:rPr>
          <w:rFonts w:ascii="Times New Roman" w:hAnsi="Times New Roman"/>
          <w:iCs/>
          <w:sz w:val="24"/>
          <w:szCs w:val="24"/>
        </w:rPr>
        <w:t xml:space="preserve"> shar</w:t>
      </w:r>
      <w:r w:rsidR="00B07CF9" w:rsidRPr="00E72EFA">
        <w:rPr>
          <w:rFonts w:ascii="Times New Roman" w:hAnsi="Times New Roman"/>
          <w:iCs/>
          <w:sz w:val="24"/>
          <w:szCs w:val="24"/>
        </w:rPr>
        <w:t>ed</w:t>
      </w:r>
      <w:r w:rsidR="00562A67" w:rsidRPr="00E72EFA">
        <w:rPr>
          <w:rFonts w:ascii="Times New Roman" w:hAnsi="Times New Roman"/>
          <w:iCs/>
          <w:sz w:val="24"/>
          <w:szCs w:val="24"/>
        </w:rPr>
        <w:t xml:space="preserve"> </w:t>
      </w:r>
      <w:r w:rsidR="00B07CF9" w:rsidRPr="00E72EFA">
        <w:rPr>
          <w:rFonts w:ascii="Times New Roman" w:hAnsi="Times New Roman"/>
          <w:iCs/>
          <w:sz w:val="24"/>
          <w:szCs w:val="24"/>
        </w:rPr>
        <w:t>by both</w:t>
      </w:r>
      <w:r w:rsidR="00562A67" w:rsidRPr="00E72EFA">
        <w:rPr>
          <w:rFonts w:ascii="Times New Roman" w:hAnsi="Times New Roman"/>
          <w:iCs/>
          <w:sz w:val="24"/>
          <w:szCs w:val="24"/>
        </w:rPr>
        <w:t xml:space="preserve"> Mode 1 and Mode 2. </w:t>
      </w:r>
    </w:p>
    <w:p w14:paraId="13E0E75B" w14:textId="77777777" w:rsidR="006461D8" w:rsidRPr="006461D8" w:rsidRDefault="006461D8" w:rsidP="006461D8">
      <w:pPr>
        <w:jc w:val="both"/>
        <w:rPr>
          <w:iCs/>
        </w:rPr>
      </w:pPr>
    </w:p>
    <w:p w14:paraId="417AC6DD" w14:textId="16EE56C7" w:rsidR="00403D24" w:rsidRPr="009B789C" w:rsidRDefault="00403D24" w:rsidP="00403D24">
      <w:pPr>
        <w:jc w:val="both"/>
        <w:rPr>
          <w:i/>
        </w:rPr>
      </w:pPr>
      <w:r w:rsidRPr="001C381A">
        <w:rPr>
          <w:b/>
          <w:i/>
          <w:u w:val="single"/>
        </w:rPr>
        <w:lastRenderedPageBreak/>
        <w:t xml:space="preserve">Proposal </w:t>
      </w:r>
      <w:r w:rsidR="00EB2E5A">
        <w:rPr>
          <w:b/>
          <w:i/>
          <w:u w:val="single"/>
        </w:rPr>
        <w:t>4</w:t>
      </w:r>
      <w:r w:rsidRPr="001C381A">
        <w:rPr>
          <w:b/>
          <w:i/>
          <w:u w:val="single"/>
        </w:rPr>
        <w:t>:</w:t>
      </w:r>
      <w:r w:rsidRPr="001C381A">
        <w:rPr>
          <w:i/>
        </w:rPr>
        <w:t xml:space="preserve"> </w:t>
      </w:r>
      <w:r w:rsidR="006461D8">
        <w:rPr>
          <w:i/>
        </w:rPr>
        <w:t>For a dynamic sidelink grant when using sidelink HARQ feedback, there is only one HARQ-ACK bit for the grant and there is one PUCCH transmission occasion after the last granted sidelink resource.</w:t>
      </w:r>
    </w:p>
    <w:p w14:paraId="32FC7C0B" w14:textId="77777777" w:rsidR="00446D27" w:rsidRPr="00446D27" w:rsidRDefault="00446D27" w:rsidP="00446D27">
      <w:pPr>
        <w:jc w:val="both"/>
        <w:rPr>
          <w:i/>
        </w:rPr>
      </w:pPr>
    </w:p>
    <w:p w14:paraId="26C6E547" w14:textId="59C3DF86" w:rsidR="00446D27" w:rsidRDefault="00446D27" w:rsidP="00446D27">
      <w:pPr>
        <w:pStyle w:val="Heading3"/>
      </w:pPr>
      <w:r>
        <w:t xml:space="preserve">Contents of report </w:t>
      </w:r>
    </w:p>
    <w:p w14:paraId="5B7465CA" w14:textId="1145430D" w:rsidR="00446D27" w:rsidRDefault="00446D27" w:rsidP="00446D27">
      <w:pPr>
        <w:jc w:val="both"/>
      </w:pPr>
      <w:r>
        <w:t>The contents of the sidelink HARQ feedback report to gNB have been extensively discussed in the email reflector</w:t>
      </w:r>
      <w:r w:rsidR="00EB2E5A">
        <w:t xml:space="preserve"> </w:t>
      </w:r>
      <w:r w:rsidR="00EB2E5A">
        <w:fldChar w:fldCharType="begin"/>
      </w:r>
      <w:r w:rsidR="00EB2E5A">
        <w:instrText xml:space="preserve"> REF _Ref30280837 \r \h </w:instrText>
      </w:r>
      <w:r w:rsidR="00EB2E5A">
        <w:fldChar w:fldCharType="separate"/>
      </w:r>
      <w:r w:rsidR="009A18A9">
        <w:t>[6]</w:t>
      </w:r>
      <w:r w:rsidR="00EB2E5A">
        <w:fldChar w:fldCharType="end"/>
      </w:r>
      <w:r>
        <w:t>. The following agreement has been made:</w:t>
      </w:r>
    </w:p>
    <w:p w14:paraId="292A1434" w14:textId="77777777" w:rsidR="00E72EFA" w:rsidRPr="00CC49B2" w:rsidRDefault="00E72EFA" w:rsidP="00446D27">
      <w:pPr>
        <w:jc w:val="both"/>
      </w:pPr>
    </w:p>
    <w:p w14:paraId="1B71DCE3" w14:textId="77777777" w:rsidR="00446D27" w:rsidRPr="00216B0A" w:rsidRDefault="00446D27" w:rsidP="00446D27">
      <w:pPr>
        <w:numPr>
          <w:ilvl w:val="0"/>
          <w:numId w:val="23"/>
        </w:numPr>
        <w:tabs>
          <w:tab w:val="clear" w:pos="720"/>
          <w:tab w:val="num" w:pos="360"/>
        </w:tabs>
        <w:ind w:left="360"/>
        <w:jc w:val="both"/>
        <w:rPr>
          <w:color w:val="000000"/>
        </w:rPr>
      </w:pPr>
      <w:r w:rsidRPr="00216B0A">
        <w:rPr>
          <w:color w:val="000000"/>
        </w:rPr>
        <w:t>For unicast:</w:t>
      </w:r>
    </w:p>
    <w:p w14:paraId="7A33C428" w14:textId="77777777" w:rsidR="00446D27" w:rsidRPr="00216B0A" w:rsidRDefault="00446D27" w:rsidP="00446D27">
      <w:pPr>
        <w:ind w:left="1170" w:hanging="450"/>
        <w:jc w:val="both"/>
        <w:rPr>
          <w:color w:val="000000"/>
        </w:rPr>
      </w:pPr>
      <w:r w:rsidRPr="00216B0A">
        <w:rPr>
          <w:color w:val="000000"/>
        </w:rPr>
        <w:t>o</w:t>
      </w:r>
      <w:r w:rsidRPr="00216B0A">
        <w:rPr>
          <w:color w:val="000000"/>
          <w:sz w:val="15"/>
          <w:szCs w:val="15"/>
        </w:rPr>
        <w:t>     </w:t>
      </w:r>
      <w:r w:rsidRPr="00216B0A">
        <w:rPr>
          <w:color w:val="000000"/>
        </w:rPr>
        <w:t>TX UE reports contents received in PSFCH (i.e., ACK/NACK) to gNB.</w:t>
      </w:r>
    </w:p>
    <w:p w14:paraId="2EF92E9D" w14:textId="77777777" w:rsidR="00446D27" w:rsidRPr="00216B0A" w:rsidRDefault="00446D27" w:rsidP="00446D27">
      <w:pPr>
        <w:ind w:left="1170" w:hanging="450"/>
        <w:jc w:val="both"/>
        <w:rPr>
          <w:color w:val="000000"/>
        </w:rPr>
      </w:pPr>
      <w:r w:rsidRPr="00216B0A">
        <w:rPr>
          <w:color w:val="000000"/>
        </w:rPr>
        <w:t>o</w:t>
      </w:r>
      <w:r w:rsidRPr="00216B0A">
        <w:rPr>
          <w:color w:val="000000"/>
          <w:sz w:val="15"/>
          <w:szCs w:val="15"/>
        </w:rPr>
        <w:t>     </w:t>
      </w:r>
      <w:r w:rsidRPr="00216B0A">
        <w:rPr>
          <w:color w:val="000000"/>
        </w:rPr>
        <w:t>TX UE reports NACK if PSFCH is not detected</w:t>
      </w:r>
    </w:p>
    <w:p w14:paraId="287E0F15" w14:textId="77777777" w:rsidR="00446D27" w:rsidRPr="00216B0A" w:rsidRDefault="00446D27" w:rsidP="00446D27">
      <w:pPr>
        <w:ind w:left="1170" w:hanging="450"/>
        <w:jc w:val="both"/>
        <w:rPr>
          <w:color w:val="000000"/>
        </w:rPr>
      </w:pPr>
      <w:r w:rsidRPr="00216B0A">
        <w:rPr>
          <w:color w:val="000000"/>
        </w:rPr>
        <w:t>o</w:t>
      </w:r>
      <w:r w:rsidRPr="00216B0A">
        <w:rPr>
          <w:color w:val="000000"/>
          <w:sz w:val="15"/>
          <w:szCs w:val="15"/>
        </w:rPr>
        <w:t>     </w:t>
      </w:r>
      <w:r w:rsidRPr="00216B0A">
        <w:rPr>
          <w:color w:val="000000"/>
        </w:rPr>
        <w:t>when generating the HARQ-ACK report for the transmissions corresponding to a grant, the TX UE </w:t>
      </w:r>
      <w:r w:rsidRPr="00216B0A">
        <w:rPr>
          <w:color w:val="000000"/>
          <w:shd w:val="clear" w:color="auto" w:fill="808000"/>
        </w:rPr>
        <w:t>uses the most recent PSFCH occasion</w:t>
      </w:r>
      <w:r w:rsidRPr="00216B0A">
        <w:rPr>
          <w:color w:val="000000"/>
        </w:rPr>
        <w:t> (</w:t>
      </w:r>
      <w:r w:rsidRPr="00216B0A">
        <w:rPr>
          <w:color w:val="000000"/>
          <w:shd w:val="clear" w:color="auto" w:fill="808000"/>
        </w:rPr>
        <w:t>as working assumption</w:t>
      </w:r>
      <w:r w:rsidRPr="00216B0A">
        <w:rPr>
          <w:color w:val="000000"/>
        </w:rPr>
        <w:t>) associated with the transmissions.</w:t>
      </w:r>
    </w:p>
    <w:p w14:paraId="07156E80" w14:textId="77777777" w:rsidR="00446D27" w:rsidRPr="00216B0A" w:rsidRDefault="00446D27" w:rsidP="00446D27">
      <w:pPr>
        <w:numPr>
          <w:ilvl w:val="0"/>
          <w:numId w:val="24"/>
        </w:numPr>
        <w:tabs>
          <w:tab w:val="clear" w:pos="720"/>
          <w:tab w:val="num" w:pos="360"/>
        </w:tabs>
        <w:ind w:left="360"/>
        <w:jc w:val="both"/>
        <w:rPr>
          <w:color w:val="000000"/>
        </w:rPr>
      </w:pPr>
      <w:r w:rsidRPr="00216B0A">
        <w:rPr>
          <w:color w:val="000000"/>
        </w:rPr>
        <w:t>For groupcast option 1:</w:t>
      </w:r>
    </w:p>
    <w:p w14:paraId="5C3CDE1E" w14:textId="77777777" w:rsidR="00446D27" w:rsidRPr="00216B0A" w:rsidRDefault="00446D27" w:rsidP="00446D27">
      <w:pPr>
        <w:ind w:left="1170" w:hanging="450"/>
        <w:jc w:val="both"/>
        <w:rPr>
          <w:color w:val="000000"/>
        </w:rPr>
      </w:pPr>
      <w:r w:rsidRPr="00216B0A">
        <w:rPr>
          <w:color w:val="000000"/>
        </w:rPr>
        <w:t>o</w:t>
      </w:r>
      <w:r w:rsidRPr="00216B0A">
        <w:rPr>
          <w:color w:val="000000"/>
          <w:sz w:val="15"/>
          <w:szCs w:val="15"/>
        </w:rPr>
        <w:t>     </w:t>
      </w:r>
      <w:r w:rsidRPr="00216B0A">
        <w:rPr>
          <w:color w:val="000000"/>
        </w:rPr>
        <w:t>TX UE reports ACK to the gNB if no PSFCH is detected.</w:t>
      </w:r>
    </w:p>
    <w:p w14:paraId="262218E4" w14:textId="77777777" w:rsidR="00446D27" w:rsidRPr="00216B0A" w:rsidRDefault="00446D27" w:rsidP="00446D27">
      <w:pPr>
        <w:ind w:left="1170" w:hanging="450"/>
        <w:jc w:val="both"/>
        <w:rPr>
          <w:color w:val="000000"/>
        </w:rPr>
      </w:pPr>
      <w:r w:rsidRPr="00216B0A">
        <w:rPr>
          <w:color w:val="000000"/>
        </w:rPr>
        <w:t>o</w:t>
      </w:r>
      <w:r w:rsidRPr="00216B0A">
        <w:rPr>
          <w:color w:val="000000"/>
          <w:sz w:val="15"/>
          <w:szCs w:val="15"/>
        </w:rPr>
        <w:t>     </w:t>
      </w:r>
      <w:r w:rsidRPr="00216B0A">
        <w:rPr>
          <w:color w:val="000000"/>
        </w:rPr>
        <w:t>TX UE reports NACK to the gNB if at least one PSFCH (i.e., NACK) is detected.</w:t>
      </w:r>
    </w:p>
    <w:p w14:paraId="05219D34" w14:textId="77777777" w:rsidR="00446D27" w:rsidRPr="00216B0A" w:rsidRDefault="00446D27" w:rsidP="00446D27">
      <w:pPr>
        <w:ind w:left="1170" w:hanging="450"/>
        <w:jc w:val="both"/>
        <w:rPr>
          <w:color w:val="000000"/>
        </w:rPr>
      </w:pPr>
      <w:r w:rsidRPr="00216B0A">
        <w:rPr>
          <w:color w:val="000000"/>
        </w:rPr>
        <w:t>o</w:t>
      </w:r>
      <w:r w:rsidRPr="00216B0A">
        <w:rPr>
          <w:color w:val="000000"/>
          <w:sz w:val="15"/>
          <w:szCs w:val="15"/>
        </w:rPr>
        <w:t>     </w:t>
      </w:r>
      <w:r w:rsidRPr="00216B0A">
        <w:rPr>
          <w:color w:val="000000"/>
        </w:rPr>
        <w:t>when generating the HARQ-ACK report for the transmissions corresponding to a grant, the TX UE uses </w:t>
      </w:r>
      <w:r w:rsidRPr="00216B0A">
        <w:rPr>
          <w:color w:val="000000"/>
          <w:shd w:val="clear" w:color="auto" w:fill="808000"/>
        </w:rPr>
        <w:t>the most recent PSFCH occasion</w:t>
      </w:r>
      <w:r w:rsidRPr="00216B0A">
        <w:rPr>
          <w:color w:val="000000"/>
        </w:rPr>
        <w:t> (</w:t>
      </w:r>
      <w:r w:rsidRPr="00216B0A">
        <w:rPr>
          <w:color w:val="000000"/>
          <w:shd w:val="clear" w:color="auto" w:fill="808000"/>
        </w:rPr>
        <w:t>as a working assumption)</w:t>
      </w:r>
      <w:r w:rsidRPr="00216B0A">
        <w:rPr>
          <w:color w:val="000000"/>
        </w:rPr>
        <w:t> associated with the transmissions.</w:t>
      </w:r>
    </w:p>
    <w:p w14:paraId="7598741B" w14:textId="77777777" w:rsidR="00446D27" w:rsidRPr="00216B0A" w:rsidRDefault="00446D27" w:rsidP="00446D27">
      <w:pPr>
        <w:ind w:left="1170" w:hanging="450"/>
        <w:jc w:val="both"/>
        <w:rPr>
          <w:color w:val="000000"/>
        </w:rPr>
      </w:pPr>
      <w:r w:rsidRPr="00216B0A">
        <w:rPr>
          <w:color w:val="000000"/>
        </w:rPr>
        <w:t>o</w:t>
      </w:r>
      <w:r w:rsidRPr="00216B0A">
        <w:rPr>
          <w:color w:val="000000"/>
          <w:sz w:val="15"/>
          <w:szCs w:val="15"/>
        </w:rPr>
        <w:t>     </w:t>
      </w:r>
      <w:r w:rsidRPr="00216B0A">
        <w:rPr>
          <w:color w:val="000000"/>
        </w:rPr>
        <w:t>FFS the cases when TX UE does not transmit/receive due to prioritization.</w:t>
      </w:r>
    </w:p>
    <w:p w14:paraId="74AB340E" w14:textId="77777777" w:rsidR="00446D27" w:rsidRPr="00216B0A" w:rsidRDefault="00446D27" w:rsidP="00446D27">
      <w:pPr>
        <w:numPr>
          <w:ilvl w:val="0"/>
          <w:numId w:val="25"/>
        </w:numPr>
        <w:tabs>
          <w:tab w:val="clear" w:pos="720"/>
          <w:tab w:val="num" w:pos="360"/>
        </w:tabs>
        <w:ind w:left="360"/>
        <w:jc w:val="both"/>
        <w:rPr>
          <w:color w:val="000000"/>
        </w:rPr>
      </w:pPr>
      <w:r w:rsidRPr="00216B0A">
        <w:rPr>
          <w:color w:val="000000"/>
        </w:rPr>
        <w:t>For groupcast option 2:</w:t>
      </w:r>
    </w:p>
    <w:p w14:paraId="66F8EDDA" w14:textId="77777777" w:rsidR="00446D27" w:rsidRPr="00216B0A" w:rsidRDefault="00446D27" w:rsidP="00446D27">
      <w:pPr>
        <w:ind w:left="1170" w:hanging="450"/>
        <w:jc w:val="both"/>
        <w:rPr>
          <w:color w:val="000000"/>
        </w:rPr>
      </w:pPr>
      <w:r w:rsidRPr="00216B0A">
        <w:rPr>
          <w:color w:val="000000"/>
        </w:rPr>
        <w:t>o</w:t>
      </w:r>
      <w:r w:rsidRPr="00216B0A">
        <w:rPr>
          <w:color w:val="000000"/>
          <w:sz w:val="15"/>
          <w:szCs w:val="15"/>
        </w:rPr>
        <w:t>     </w:t>
      </w:r>
      <w:r w:rsidRPr="00216B0A">
        <w:rPr>
          <w:color w:val="000000"/>
        </w:rPr>
        <w:t>TX UE reports ACK if all expected PSFCH resources are received and carry ACK.</w:t>
      </w:r>
    </w:p>
    <w:p w14:paraId="76C9AC45" w14:textId="77777777" w:rsidR="00446D27" w:rsidRPr="00216B0A" w:rsidRDefault="00446D27" w:rsidP="00446D27">
      <w:pPr>
        <w:ind w:left="1170" w:hanging="450"/>
        <w:jc w:val="both"/>
        <w:rPr>
          <w:color w:val="000000"/>
        </w:rPr>
      </w:pPr>
      <w:r w:rsidRPr="00216B0A">
        <w:rPr>
          <w:color w:val="000000"/>
        </w:rPr>
        <w:t>o</w:t>
      </w:r>
      <w:r w:rsidRPr="00216B0A">
        <w:rPr>
          <w:color w:val="000000"/>
          <w:sz w:val="15"/>
          <w:szCs w:val="15"/>
        </w:rPr>
        <w:t>     </w:t>
      </w:r>
      <w:r w:rsidRPr="00216B0A">
        <w:rPr>
          <w:color w:val="000000"/>
        </w:rPr>
        <w:t>TX UE reports NACK if at least one received PSFCH resource carries NACK or if no PSFCH is</w:t>
      </w:r>
      <w:r>
        <w:rPr>
          <w:color w:val="000000"/>
        </w:rPr>
        <w:t xml:space="preserve"> </w:t>
      </w:r>
      <w:r w:rsidRPr="00216B0A">
        <w:rPr>
          <w:color w:val="000000"/>
        </w:rPr>
        <w:t>detected. </w:t>
      </w:r>
    </w:p>
    <w:p w14:paraId="31E2B85F" w14:textId="77777777" w:rsidR="00446D27" w:rsidRPr="00216B0A" w:rsidRDefault="00446D27" w:rsidP="00446D27">
      <w:pPr>
        <w:ind w:left="1170" w:hanging="450"/>
        <w:jc w:val="both"/>
        <w:rPr>
          <w:color w:val="000000"/>
        </w:rPr>
      </w:pPr>
      <w:r w:rsidRPr="00216B0A">
        <w:rPr>
          <w:color w:val="000000"/>
        </w:rPr>
        <w:t>o</w:t>
      </w:r>
      <w:r w:rsidRPr="00216B0A">
        <w:rPr>
          <w:color w:val="000000"/>
          <w:sz w:val="15"/>
          <w:szCs w:val="15"/>
        </w:rPr>
        <w:t>     </w:t>
      </w:r>
      <w:r w:rsidRPr="00216B0A">
        <w:rPr>
          <w:color w:val="000000"/>
        </w:rPr>
        <w:t>FFS the case with PSFCHs corresponding to multiple PSCCH/PSSCH</w:t>
      </w:r>
      <w:r>
        <w:rPr>
          <w:color w:val="000000"/>
        </w:rPr>
        <w:t xml:space="preserve"> </w:t>
      </w:r>
      <w:r w:rsidRPr="00216B0A">
        <w:rPr>
          <w:color w:val="000000"/>
        </w:rPr>
        <w:t>transmissions before generating the HARQ-ACK report. </w:t>
      </w:r>
    </w:p>
    <w:p w14:paraId="61C7DE2A" w14:textId="77777777" w:rsidR="00446D27" w:rsidRPr="00216B0A" w:rsidRDefault="00446D27" w:rsidP="00446D27">
      <w:pPr>
        <w:ind w:left="1170" w:hanging="450"/>
        <w:jc w:val="both"/>
        <w:rPr>
          <w:color w:val="000000"/>
        </w:rPr>
      </w:pPr>
      <w:r w:rsidRPr="00216B0A">
        <w:rPr>
          <w:color w:val="000000"/>
        </w:rPr>
        <w:t>o</w:t>
      </w:r>
      <w:r w:rsidRPr="00216B0A">
        <w:rPr>
          <w:color w:val="000000"/>
          <w:sz w:val="15"/>
          <w:szCs w:val="15"/>
        </w:rPr>
        <w:t>     </w:t>
      </w:r>
      <w:r w:rsidRPr="00216B0A">
        <w:rPr>
          <w:color w:val="000000"/>
        </w:rPr>
        <w:t>FFS behavior when TX UE does not detect some expected PSFCH.</w:t>
      </w:r>
    </w:p>
    <w:p w14:paraId="4BA2E04D" w14:textId="77777777" w:rsidR="00446D27" w:rsidRPr="00216B0A" w:rsidRDefault="00446D27" w:rsidP="00446D27">
      <w:pPr>
        <w:numPr>
          <w:ilvl w:val="0"/>
          <w:numId w:val="26"/>
        </w:numPr>
        <w:tabs>
          <w:tab w:val="clear" w:pos="720"/>
          <w:tab w:val="num" w:pos="360"/>
        </w:tabs>
        <w:ind w:left="360"/>
        <w:jc w:val="both"/>
        <w:rPr>
          <w:color w:val="000000"/>
        </w:rPr>
      </w:pPr>
      <w:r w:rsidRPr="00216B0A">
        <w:rPr>
          <w:color w:val="000000"/>
        </w:rPr>
        <w:t>FFS if no PSCCH/PSSCH is transmitted in a set of resources for configured grant.</w:t>
      </w:r>
    </w:p>
    <w:p w14:paraId="4283CB28" w14:textId="77777777" w:rsidR="00446D27" w:rsidRPr="00216B0A" w:rsidRDefault="00446D27" w:rsidP="00446D27">
      <w:pPr>
        <w:numPr>
          <w:ilvl w:val="0"/>
          <w:numId w:val="26"/>
        </w:numPr>
        <w:tabs>
          <w:tab w:val="clear" w:pos="720"/>
          <w:tab w:val="num" w:pos="360"/>
        </w:tabs>
        <w:ind w:left="360"/>
        <w:jc w:val="both"/>
        <w:rPr>
          <w:color w:val="000000"/>
        </w:rPr>
      </w:pPr>
      <w:r w:rsidRPr="00216B0A">
        <w:rPr>
          <w:color w:val="000000"/>
        </w:rPr>
        <w:t>FFS whether/how to deal with the case of reaching the maximum number of HARQ re-transmissions for a TB.</w:t>
      </w:r>
    </w:p>
    <w:p w14:paraId="5515878F" w14:textId="77777777" w:rsidR="00446D27" w:rsidRPr="00CC49B2" w:rsidRDefault="00446D27" w:rsidP="00446D27">
      <w:pPr>
        <w:ind w:left="720"/>
        <w:rPr>
          <w:color w:val="000000"/>
        </w:rPr>
      </w:pPr>
    </w:p>
    <w:p w14:paraId="35FE6479" w14:textId="2C0470F4" w:rsidR="00446D27" w:rsidRDefault="00E72EFA" w:rsidP="00446D27">
      <w:pPr>
        <w:jc w:val="both"/>
        <w:rPr>
          <w:color w:val="000000"/>
        </w:rPr>
      </w:pPr>
      <w:r>
        <w:rPr>
          <w:color w:val="000000"/>
        </w:rPr>
        <w:t>As seen from the agreement, one open issue is the content of sidelink HARQ report to gNB f</w:t>
      </w:r>
      <w:r w:rsidR="00446D27">
        <w:rPr>
          <w:color w:val="000000"/>
        </w:rPr>
        <w:t xml:space="preserve">or groupcast HARQ scheme </w:t>
      </w:r>
      <w:r>
        <w:rPr>
          <w:color w:val="000000"/>
        </w:rPr>
        <w:t>o</w:t>
      </w:r>
      <w:r w:rsidR="00446D27">
        <w:rPr>
          <w:color w:val="000000"/>
        </w:rPr>
        <w:t>ption 2</w:t>
      </w:r>
      <w:r>
        <w:rPr>
          <w:color w:val="000000"/>
        </w:rPr>
        <w:t>,</w:t>
      </w:r>
      <w:r w:rsidR="00446D27">
        <w:rPr>
          <w:color w:val="000000"/>
        </w:rPr>
        <w:t xml:space="preserve"> with PSFCHs corresponding to multiple PSCCH/PSSCH transmissions. </w:t>
      </w:r>
    </w:p>
    <w:p w14:paraId="7B614288" w14:textId="77777777" w:rsidR="00446D27" w:rsidRDefault="00446D27" w:rsidP="00446D27">
      <w:pPr>
        <w:jc w:val="both"/>
        <w:rPr>
          <w:color w:val="000000"/>
        </w:rPr>
      </w:pPr>
    </w:p>
    <w:p w14:paraId="5D424DAC" w14:textId="77777777" w:rsidR="00446D27" w:rsidRDefault="00446D27" w:rsidP="00446D27">
      <w:pPr>
        <w:jc w:val="both"/>
        <w:rPr>
          <w:color w:val="000000"/>
        </w:rPr>
      </w:pPr>
      <w:r>
        <w:rPr>
          <w:color w:val="000000"/>
        </w:rPr>
        <w:t xml:space="preserve">The solution to this issue is related to receiver UE’s behavior. Specifically, what is a receiver UE’s behavior if it receives retransmission of a TB which it already acknowledged? There are two alternatives: 1). Alternative 1 is that the receiver UE sends ACK on PSFCH corresponding to the retransmission; 2). Alternative 2 is that the receiver UE does not send anything (i.e., DTX) on PSFCH corresponding to the retransmission.   </w:t>
      </w:r>
    </w:p>
    <w:p w14:paraId="53AA9979" w14:textId="77777777" w:rsidR="00446D27" w:rsidRDefault="00446D27" w:rsidP="00446D27">
      <w:pPr>
        <w:jc w:val="both"/>
        <w:rPr>
          <w:color w:val="000000"/>
        </w:rPr>
      </w:pPr>
    </w:p>
    <w:p w14:paraId="52CE9691" w14:textId="77777777" w:rsidR="00446D27" w:rsidRDefault="00446D27" w:rsidP="00446D27">
      <w:pPr>
        <w:jc w:val="both"/>
        <w:rPr>
          <w:color w:val="000000"/>
        </w:rPr>
      </w:pPr>
      <w:r>
        <w:rPr>
          <w:color w:val="000000"/>
        </w:rPr>
        <w:t xml:space="preserve">In the first alternative, the transmitter UE generates HARQ report based on the most recent PSFCH occasion associated with the transmissions. It reports ACK to gNB if all expected PSFCH resources are received and carry ACK, and reports NACK to gNB if at least one received PSFCH resource carries NACK or if no PSFCH is detected. </w:t>
      </w:r>
    </w:p>
    <w:p w14:paraId="5A7309D2" w14:textId="77777777" w:rsidR="00446D27" w:rsidRDefault="00446D27" w:rsidP="00446D27">
      <w:pPr>
        <w:jc w:val="both"/>
        <w:rPr>
          <w:color w:val="000000"/>
        </w:rPr>
      </w:pPr>
    </w:p>
    <w:p w14:paraId="0A4CB2A1" w14:textId="77777777" w:rsidR="00446D27" w:rsidRDefault="00446D27" w:rsidP="00446D27">
      <w:pPr>
        <w:jc w:val="both"/>
        <w:rPr>
          <w:color w:val="000000"/>
        </w:rPr>
      </w:pPr>
      <w:r>
        <w:rPr>
          <w:color w:val="000000"/>
        </w:rPr>
        <w:t xml:space="preserve">In the second alternative, a receiver UE is not required to send more than 1 ACK for multiple retransmissions of a TB. In this case, the transmitter UE needs to check the PSFCH occasions associated with all the retransmissions of the TB. It reports ACK to gNB if the total number of ACKs </w:t>
      </w:r>
      <w:r>
        <w:rPr>
          <w:color w:val="000000"/>
        </w:rPr>
        <w:lastRenderedPageBreak/>
        <w:t>it receives in all the associated PSFCH occasions is equal to the number of receiver UEs, and reports NACK to gNB if the total number of ACKs it receives in all the associated PSFCH occasions is less than the number of receiver UEs.</w:t>
      </w:r>
    </w:p>
    <w:p w14:paraId="3B6D8F33" w14:textId="77777777" w:rsidR="00446D27" w:rsidRDefault="00446D27" w:rsidP="00446D27">
      <w:pPr>
        <w:jc w:val="both"/>
        <w:rPr>
          <w:color w:val="000000"/>
        </w:rPr>
      </w:pPr>
    </w:p>
    <w:p w14:paraId="751B60A8" w14:textId="77777777" w:rsidR="00446D27" w:rsidRPr="00CC49B2" w:rsidRDefault="00446D27" w:rsidP="00446D27">
      <w:pPr>
        <w:jc w:val="both"/>
        <w:rPr>
          <w:color w:val="000000"/>
        </w:rPr>
      </w:pPr>
      <w:r>
        <w:rPr>
          <w:color w:val="000000"/>
        </w:rPr>
        <w:t xml:space="preserve">The first alternative simplifies transmitter UE’s operation, as it does not need to track back all the past PSFCH occasions. Considering the tight PSFCH processing time at the transmitter UE, we prefer the first alternative, and have the following proposal. </w:t>
      </w:r>
    </w:p>
    <w:p w14:paraId="3657F1A9" w14:textId="77777777" w:rsidR="00446D27" w:rsidRPr="00051C4C" w:rsidRDefault="00446D27" w:rsidP="00446D27">
      <w:pPr>
        <w:rPr>
          <w:rFonts w:ascii="Calibri" w:hAnsi="Calibri" w:cs="Calibri"/>
          <w:color w:val="000000"/>
          <w:sz w:val="22"/>
          <w:szCs w:val="22"/>
        </w:rPr>
      </w:pPr>
    </w:p>
    <w:p w14:paraId="66DEB822" w14:textId="696A74B4" w:rsidR="00446D27" w:rsidRDefault="00446D27" w:rsidP="00446D27">
      <w:pPr>
        <w:jc w:val="both"/>
        <w:rPr>
          <w:i/>
        </w:rPr>
      </w:pPr>
      <w:r w:rsidRPr="001C381A">
        <w:rPr>
          <w:b/>
          <w:i/>
          <w:u w:val="single"/>
        </w:rPr>
        <w:t xml:space="preserve">Proposal </w:t>
      </w:r>
      <w:r w:rsidR="00EB2E5A">
        <w:rPr>
          <w:b/>
          <w:i/>
          <w:u w:val="single"/>
        </w:rPr>
        <w:t>5</w:t>
      </w:r>
      <w:r w:rsidRPr="001C381A">
        <w:rPr>
          <w:b/>
          <w:i/>
          <w:u w:val="single"/>
        </w:rPr>
        <w:t>:</w:t>
      </w:r>
      <w:r w:rsidRPr="001C381A">
        <w:rPr>
          <w:i/>
        </w:rPr>
        <w:t xml:space="preserve"> </w:t>
      </w:r>
      <w:r>
        <w:rPr>
          <w:i/>
        </w:rPr>
        <w:t xml:space="preserve">For groupcast HARQ scheme option 2, when generating the HARQ ACK report to gNB for the sidelink transmissions corresponding to a grant, the transmitter UE uses the most recent PSFCH occasion associated with the sidelink transmissions. A receiver UE sends ACK on PSFCH corresponding to each retransmission if it decodes the corresponding TB. </w:t>
      </w:r>
    </w:p>
    <w:p w14:paraId="094AE518" w14:textId="77777777" w:rsidR="00446D27" w:rsidRDefault="00446D27" w:rsidP="00446D27">
      <w:pPr>
        <w:jc w:val="both"/>
        <w:rPr>
          <w:iCs/>
        </w:rPr>
      </w:pPr>
    </w:p>
    <w:p w14:paraId="19437D0C" w14:textId="706F88A9" w:rsidR="00446D27" w:rsidRDefault="00446D27" w:rsidP="00446D27">
      <w:pPr>
        <w:jc w:val="both"/>
        <w:rPr>
          <w:iCs/>
        </w:rPr>
      </w:pPr>
      <w:r>
        <w:rPr>
          <w:iCs/>
        </w:rPr>
        <w:t xml:space="preserve">Another open issue is in a </w:t>
      </w:r>
      <w:r w:rsidR="00E72EFA">
        <w:rPr>
          <w:iCs/>
        </w:rPr>
        <w:t xml:space="preserve">sidelink </w:t>
      </w:r>
      <w:r>
        <w:rPr>
          <w:iCs/>
        </w:rPr>
        <w:t>configured grant, if no sidelink data need to be transmitted in a period and hence, no PSFCH is received, what is the sidelink HARQ report to gNB</w:t>
      </w:r>
      <w:r w:rsidR="00E72EFA">
        <w:rPr>
          <w:iCs/>
        </w:rPr>
        <w:t>?</w:t>
      </w:r>
      <w:r>
        <w:rPr>
          <w:iCs/>
        </w:rPr>
        <w:t xml:space="preserve"> In our view, the main purpose of reporting sidelink HARQ feedback to gNB is to notify gNB whether or not more sidelink resources are needed for sidelink retransmissions. If there are no sidelink data for transmission in a period, then the sidelink retransmission resources are not needed. Hence, it is natural for the transmitter UE to send HARQ ACK to gNB, indicating no additional sidelink resources are needed. </w:t>
      </w:r>
    </w:p>
    <w:p w14:paraId="4D20F918" w14:textId="77777777" w:rsidR="00446D27" w:rsidRDefault="00446D27" w:rsidP="00446D27">
      <w:pPr>
        <w:jc w:val="both"/>
        <w:rPr>
          <w:iCs/>
        </w:rPr>
      </w:pPr>
    </w:p>
    <w:p w14:paraId="0500EF5B" w14:textId="77777777" w:rsidR="00446D27" w:rsidRDefault="00446D27" w:rsidP="00446D27">
      <w:pPr>
        <w:jc w:val="both"/>
        <w:rPr>
          <w:iCs/>
        </w:rPr>
      </w:pPr>
      <w:r>
        <w:rPr>
          <w:iCs/>
        </w:rPr>
        <w:t xml:space="preserve">The similar arguments apply to the case where the maximum number of HARQ retransmissions for a TB has already been reached. Since no additional sidelink resources are required for further retransmissions, the transmitter UE simply sends HARQ ACK to gNB for this indication. </w:t>
      </w:r>
    </w:p>
    <w:p w14:paraId="0FEB1D2D" w14:textId="77777777" w:rsidR="00446D27" w:rsidRPr="009F6C80" w:rsidRDefault="00446D27" w:rsidP="00446D27">
      <w:pPr>
        <w:jc w:val="both"/>
        <w:rPr>
          <w:iCs/>
        </w:rPr>
      </w:pPr>
    </w:p>
    <w:p w14:paraId="49CAF3C8" w14:textId="4C294C4F" w:rsidR="00446D27" w:rsidRDefault="00446D27" w:rsidP="00446D27">
      <w:pPr>
        <w:jc w:val="both"/>
        <w:rPr>
          <w:i/>
        </w:rPr>
      </w:pPr>
      <w:r w:rsidRPr="001C381A">
        <w:rPr>
          <w:b/>
          <w:i/>
          <w:u w:val="single"/>
        </w:rPr>
        <w:t xml:space="preserve">Proposal </w:t>
      </w:r>
      <w:r w:rsidR="00EB2E5A">
        <w:rPr>
          <w:b/>
          <w:i/>
          <w:u w:val="single"/>
        </w:rPr>
        <w:t>6</w:t>
      </w:r>
      <w:r w:rsidRPr="001C381A">
        <w:rPr>
          <w:b/>
          <w:i/>
          <w:u w:val="single"/>
        </w:rPr>
        <w:t>:</w:t>
      </w:r>
      <w:r w:rsidRPr="001C381A">
        <w:rPr>
          <w:i/>
        </w:rPr>
        <w:t xml:space="preserve"> </w:t>
      </w:r>
      <w:r>
        <w:rPr>
          <w:i/>
        </w:rPr>
        <w:t xml:space="preserve">If no PSCCH/PSSCH is transmitted in a set of resources for configured grant, then HARQ ACK is reported to gNB to indicate no need of additional sidelink resources. </w:t>
      </w:r>
    </w:p>
    <w:p w14:paraId="09F70E7C" w14:textId="77777777" w:rsidR="00446D27" w:rsidRDefault="00446D27" w:rsidP="00446D27">
      <w:pPr>
        <w:rPr>
          <w:i/>
        </w:rPr>
      </w:pPr>
    </w:p>
    <w:p w14:paraId="65F361D1" w14:textId="1C09CD10" w:rsidR="00446D27" w:rsidRPr="009F6C80" w:rsidRDefault="00446D27" w:rsidP="00446D27">
      <w:pPr>
        <w:jc w:val="both"/>
        <w:rPr>
          <w:i/>
        </w:rPr>
      </w:pPr>
      <w:r w:rsidRPr="001C381A">
        <w:rPr>
          <w:b/>
          <w:i/>
          <w:u w:val="single"/>
        </w:rPr>
        <w:t xml:space="preserve">Proposal </w:t>
      </w:r>
      <w:r w:rsidR="00EB2E5A">
        <w:rPr>
          <w:b/>
          <w:i/>
          <w:u w:val="single"/>
        </w:rPr>
        <w:t>7</w:t>
      </w:r>
      <w:r w:rsidRPr="001C381A">
        <w:rPr>
          <w:b/>
          <w:i/>
          <w:u w:val="single"/>
        </w:rPr>
        <w:t>:</w:t>
      </w:r>
      <w:r w:rsidRPr="001C381A">
        <w:rPr>
          <w:i/>
        </w:rPr>
        <w:t xml:space="preserve"> </w:t>
      </w:r>
      <w:r>
        <w:rPr>
          <w:i/>
        </w:rPr>
        <w:t xml:space="preserve">If </w:t>
      </w:r>
      <w:r w:rsidRPr="00051C4C">
        <w:rPr>
          <w:i/>
        </w:rPr>
        <w:t>the maximum number of HARQ re-transmissions for a TB</w:t>
      </w:r>
      <w:r>
        <w:rPr>
          <w:i/>
        </w:rPr>
        <w:t xml:space="preserve"> is reached, then HARQ ACK is reported to gNB to indicate no need of additional sidelink resources.  </w:t>
      </w:r>
    </w:p>
    <w:p w14:paraId="6738F6CE" w14:textId="77777777" w:rsidR="00446D27" w:rsidRDefault="00446D27" w:rsidP="00CD73BE"/>
    <w:p w14:paraId="621C92CD" w14:textId="77777777" w:rsidR="00EB2E5A" w:rsidRDefault="00EB2E5A" w:rsidP="00EB2E5A">
      <w:pPr>
        <w:pStyle w:val="Heading2"/>
        <w:ind w:left="720" w:hanging="720"/>
        <w:rPr>
          <w:sz w:val="28"/>
        </w:rPr>
      </w:pPr>
      <w:r>
        <w:rPr>
          <w:sz w:val="28"/>
        </w:rPr>
        <w:t xml:space="preserve">Multiplexing multiple sidelink HARQ </w:t>
      </w:r>
    </w:p>
    <w:p w14:paraId="7B90E244" w14:textId="72689543" w:rsidR="00EB2E5A" w:rsidRDefault="00EB2E5A" w:rsidP="00EB2E5A">
      <w:pPr>
        <w:jc w:val="both"/>
      </w:pPr>
      <w:r w:rsidRPr="00EB2E5A">
        <w:t>It was agreed</w:t>
      </w:r>
      <w:r>
        <w:t xml:space="preserve"> </w:t>
      </w:r>
      <w:r>
        <w:fldChar w:fldCharType="begin"/>
      </w:r>
      <w:r>
        <w:instrText xml:space="preserve"> REF _Ref30281067 \r \h  \* MERGEFORMAT </w:instrText>
      </w:r>
      <w:r>
        <w:fldChar w:fldCharType="separate"/>
      </w:r>
      <w:r w:rsidR="009A18A9">
        <w:t>[7]</w:t>
      </w:r>
      <w:r>
        <w:fldChar w:fldCharType="end"/>
      </w:r>
      <w:r w:rsidRPr="00EB2E5A">
        <w:t xml:space="preserve"> that NR supports reporting of multiple</w:t>
      </w:r>
      <w:r>
        <w:t xml:space="preserve"> sidelink HARQ-ACKs in a single PUCCH resource, where Rel-15 procedures for multiplexing DL HARQ-ACKs are reutilized. Furthermore, for sidelink HARQ-ACK reporting, both type 1 and type 2 codebook are supported. </w:t>
      </w:r>
    </w:p>
    <w:p w14:paraId="6693BDD6" w14:textId="77777777" w:rsidR="00EB2E5A" w:rsidRDefault="00EB2E5A" w:rsidP="00EB2E5A">
      <w:pPr>
        <w:jc w:val="both"/>
      </w:pPr>
    </w:p>
    <w:p w14:paraId="16D343B1" w14:textId="72C70B17" w:rsidR="00EB2E5A" w:rsidRDefault="00E72EFA" w:rsidP="00EB2E5A">
      <w:pPr>
        <w:jc w:val="both"/>
      </w:pPr>
      <w:r>
        <w:t>The following</w:t>
      </w:r>
      <w:r w:rsidR="00EB2E5A">
        <w:t xml:space="preserve"> modifications on the procedure</w:t>
      </w:r>
      <w:r w:rsidR="00204605">
        <w:t>s</w:t>
      </w:r>
      <w:r w:rsidR="00EB2E5A">
        <w:t xml:space="preserve"> </w:t>
      </w:r>
      <w:r>
        <w:t>of</w:t>
      </w:r>
      <w:r w:rsidR="00EB2E5A">
        <w:t xml:space="preserve"> multiplexing</w:t>
      </w:r>
      <w:r>
        <w:t xml:space="preserve"> </w:t>
      </w:r>
      <w:r w:rsidR="00EB2E5A">
        <w:t xml:space="preserve">DL HARQ-ACKs </w:t>
      </w:r>
      <w:r>
        <w:t>are</w:t>
      </w:r>
      <w:r w:rsidR="00EB2E5A">
        <w:t xml:space="preserve"> needed </w:t>
      </w:r>
      <w:r>
        <w:t>to</w:t>
      </w:r>
      <w:r w:rsidR="00EB2E5A">
        <w:t xml:space="preserve"> </w:t>
      </w:r>
      <w:r>
        <w:t xml:space="preserve">construct </w:t>
      </w:r>
      <w:r w:rsidR="00EB2E5A">
        <w:t>type 1 sidelink HARQ-ACK codebook</w:t>
      </w:r>
      <w:r>
        <w:t>:</w:t>
      </w:r>
    </w:p>
    <w:p w14:paraId="0BD790E1" w14:textId="77777777" w:rsidR="00E72EFA" w:rsidRDefault="00E72EFA" w:rsidP="00EB2E5A">
      <w:pPr>
        <w:jc w:val="both"/>
      </w:pPr>
    </w:p>
    <w:p w14:paraId="5979EA1C" w14:textId="1F6C2E35" w:rsidR="00EB2E5A" w:rsidRPr="00E72EFA" w:rsidRDefault="00EB2E5A" w:rsidP="00E72EFA">
      <w:pPr>
        <w:pStyle w:val="ListParagraph"/>
        <w:numPr>
          <w:ilvl w:val="0"/>
          <w:numId w:val="34"/>
        </w:numPr>
        <w:jc w:val="both"/>
        <w:rPr>
          <w:rFonts w:ascii="Times New Roman" w:hAnsi="Times New Roman"/>
          <w:iCs/>
          <w:sz w:val="24"/>
          <w:szCs w:val="24"/>
        </w:rPr>
      </w:pPr>
      <w:r w:rsidRPr="00EB2E5A">
        <w:rPr>
          <w:rFonts w:ascii="Times New Roman" w:hAnsi="Times New Roman"/>
          <w:iCs/>
          <w:sz w:val="24"/>
          <w:szCs w:val="24"/>
        </w:rPr>
        <w:t xml:space="preserve">The slot timing values </w:t>
      </w:r>
      <m:oMath>
        <m:sSub>
          <m:sSubPr>
            <m:ctrlPr>
              <w:rPr>
                <w:rFonts w:ascii="Cambria Math" w:hAnsi="Cambria Math"/>
                <w:iCs/>
                <w:sz w:val="24"/>
                <w:szCs w:val="24"/>
              </w:rPr>
            </m:ctrlPr>
          </m:sSubPr>
          <m:e>
            <m:r>
              <m:rPr>
                <m:sty m:val="p"/>
              </m:rPr>
              <w:rPr>
                <w:rFonts w:ascii="Cambria Math" w:hAnsi="Cambria Math"/>
                <w:sz w:val="24"/>
                <w:szCs w:val="24"/>
              </w:rPr>
              <m:t>K</m:t>
            </m:r>
          </m:e>
          <m:sub>
            <m:r>
              <m:rPr>
                <m:sty m:val="p"/>
              </m:rPr>
              <w:rPr>
                <w:rFonts w:ascii="Cambria Math" w:hAnsi="Cambria Math"/>
                <w:sz w:val="24"/>
                <w:szCs w:val="24"/>
              </w:rPr>
              <m:t>1</m:t>
            </m:r>
          </m:sub>
        </m:sSub>
      </m:oMath>
      <w:r w:rsidRPr="00EB2E5A">
        <w:rPr>
          <w:rFonts w:ascii="Times New Roman" w:hAnsi="Times New Roman"/>
          <w:iCs/>
          <w:sz w:val="24"/>
          <w:szCs w:val="24"/>
        </w:rPr>
        <w:t xml:space="preserve"> is replaced by the slot duration between the last PSFCH occasion of a sidelink grant and PUCCH</w:t>
      </w:r>
      <w:r>
        <w:rPr>
          <w:rFonts w:ascii="Times New Roman" w:hAnsi="Times New Roman"/>
          <w:iCs/>
          <w:sz w:val="24"/>
          <w:szCs w:val="24"/>
        </w:rPr>
        <w:t xml:space="preserve">. </w:t>
      </w:r>
    </w:p>
    <w:p w14:paraId="0C4A08A4" w14:textId="107D418E" w:rsidR="00EB2E5A" w:rsidRPr="00E72EFA" w:rsidRDefault="00EB2E5A" w:rsidP="00E72EFA">
      <w:pPr>
        <w:pStyle w:val="ListParagraph"/>
        <w:jc w:val="both"/>
        <w:rPr>
          <w:rFonts w:ascii="Times New Roman" w:hAnsi="Times New Roman"/>
          <w:iCs/>
          <w:sz w:val="24"/>
          <w:szCs w:val="24"/>
        </w:rPr>
      </w:pPr>
      <w:r>
        <w:rPr>
          <w:rFonts w:ascii="Times New Roman" w:hAnsi="Times New Roman"/>
          <w:iCs/>
          <w:sz w:val="24"/>
          <w:szCs w:val="24"/>
        </w:rPr>
        <w:t xml:space="preserve">Note that </w:t>
      </w:r>
      <w:r w:rsidRPr="00EB2E5A">
        <w:rPr>
          <w:rFonts w:ascii="Times New Roman" w:hAnsi="Times New Roman"/>
          <w:iCs/>
          <w:sz w:val="24"/>
          <w:szCs w:val="24"/>
        </w:rPr>
        <w:t>the “PSFCH-to-HARQ feedback timing indicator” field is provided in DCI format 3_0, as a counterpart of the “PDSCH-to-HARQ feedback timing indicator” field in DCI with downlink grant.</w:t>
      </w:r>
    </w:p>
    <w:p w14:paraId="30D24FB5" w14:textId="239AB85C" w:rsidR="00EB2E5A" w:rsidRPr="00E72EFA" w:rsidRDefault="00EB2E5A" w:rsidP="00500275">
      <w:pPr>
        <w:pStyle w:val="ListParagraph"/>
        <w:numPr>
          <w:ilvl w:val="0"/>
          <w:numId w:val="34"/>
        </w:numPr>
        <w:jc w:val="both"/>
        <w:rPr>
          <w:rFonts w:ascii="Times New Roman" w:hAnsi="Times New Roman"/>
          <w:iCs/>
          <w:sz w:val="24"/>
          <w:szCs w:val="24"/>
        </w:rPr>
      </w:pPr>
      <w:r w:rsidRPr="00E72EFA">
        <w:rPr>
          <w:rFonts w:ascii="Times New Roman" w:hAnsi="Times New Roman"/>
          <w:iCs/>
          <w:sz w:val="24"/>
          <w:szCs w:val="24"/>
        </w:rPr>
        <w:t>PDSCH time resource is replaced by PSSCH time resource associated with the last PSFCH occasion.</w:t>
      </w:r>
    </w:p>
    <w:p w14:paraId="02E12F8C" w14:textId="5F5F305D" w:rsidR="00E72EFA" w:rsidRDefault="00EB2E5A" w:rsidP="00E72EFA">
      <w:pPr>
        <w:pStyle w:val="ListParagraph"/>
        <w:jc w:val="both"/>
        <w:rPr>
          <w:rFonts w:ascii="Times New Roman" w:hAnsi="Times New Roman"/>
          <w:iCs/>
          <w:sz w:val="24"/>
          <w:szCs w:val="24"/>
        </w:rPr>
      </w:pPr>
      <w:r>
        <w:rPr>
          <w:rFonts w:ascii="Times New Roman" w:hAnsi="Times New Roman"/>
          <w:iCs/>
          <w:sz w:val="24"/>
          <w:szCs w:val="24"/>
        </w:rPr>
        <w:t>In NR DL HARQ-ACKs multiplexing, for each</w:t>
      </w:r>
      <w:r w:rsidR="00E72EFA">
        <w:rPr>
          <w:rFonts w:ascii="Times New Roman" w:hAnsi="Times New Roman"/>
          <w:iCs/>
          <w:sz w:val="24"/>
          <w:szCs w:val="24"/>
        </w:rPr>
        <w:t xml:space="preserve"> </w:t>
      </w:r>
      <m:oMath>
        <m:sSub>
          <m:sSubPr>
            <m:ctrlPr>
              <w:rPr>
                <w:rFonts w:ascii="Cambria Math" w:hAnsi="Cambria Math"/>
                <w:iCs/>
                <w:sz w:val="24"/>
                <w:szCs w:val="24"/>
              </w:rPr>
            </m:ctrlPr>
          </m:sSubPr>
          <m:e>
            <m:r>
              <m:rPr>
                <m:sty m:val="p"/>
              </m:rPr>
              <w:rPr>
                <w:rFonts w:ascii="Cambria Math" w:hAnsi="Cambria Math"/>
                <w:sz w:val="24"/>
                <w:szCs w:val="24"/>
              </w:rPr>
              <m:t>K</m:t>
            </m:r>
          </m:e>
          <m:sub>
            <m:r>
              <m:rPr>
                <m:sty m:val="p"/>
              </m:rPr>
              <w:rPr>
                <w:rFonts w:ascii="Cambria Math" w:hAnsi="Cambria Math"/>
                <w:sz w:val="24"/>
                <w:szCs w:val="24"/>
              </w:rPr>
              <m:t>1</m:t>
            </m:r>
          </m:sub>
        </m:sSub>
      </m:oMath>
      <w:r w:rsidR="00E72EFA">
        <w:rPr>
          <w:rFonts w:ascii="Times New Roman" w:hAnsi="Times New Roman"/>
          <w:iCs/>
          <w:sz w:val="24"/>
          <w:szCs w:val="24"/>
        </w:rPr>
        <w:t xml:space="preserve"> </w:t>
      </w:r>
      <w:r>
        <w:rPr>
          <w:rFonts w:ascii="Times New Roman" w:hAnsi="Times New Roman"/>
          <w:iCs/>
          <w:sz w:val="24"/>
          <w:szCs w:val="24"/>
        </w:rPr>
        <w:t xml:space="preserve">value, the configured PDSCH time domain resource allocation list (including slot offset </w:t>
      </w:r>
      <m:oMath>
        <m:sSub>
          <m:sSubPr>
            <m:ctrlPr>
              <w:rPr>
                <w:rFonts w:ascii="Cambria Math" w:hAnsi="Cambria Math"/>
                <w:iCs/>
                <w:sz w:val="24"/>
                <w:szCs w:val="24"/>
              </w:rPr>
            </m:ctrlPr>
          </m:sSubPr>
          <m:e>
            <m:r>
              <m:rPr>
                <m:sty m:val="p"/>
              </m:rPr>
              <w:rPr>
                <w:rFonts w:ascii="Cambria Math" w:hAnsi="Cambria Math"/>
                <w:sz w:val="24"/>
                <w:szCs w:val="24"/>
              </w:rPr>
              <m:t>K</m:t>
            </m:r>
          </m:e>
          <m:sub>
            <m:r>
              <m:rPr>
                <m:sty m:val="p"/>
              </m:rPr>
              <w:rPr>
                <w:rFonts w:ascii="Cambria Math" w:hAnsi="Cambria Math"/>
                <w:sz w:val="24"/>
                <w:szCs w:val="24"/>
              </w:rPr>
              <m:t>0</m:t>
            </m:r>
          </m:sub>
        </m:sSub>
      </m:oMath>
      <w:r>
        <w:rPr>
          <w:rFonts w:ascii="Times New Roman" w:hAnsi="Times New Roman"/>
          <w:iCs/>
          <w:sz w:val="24"/>
          <w:szCs w:val="24"/>
        </w:rPr>
        <w:t xml:space="preserve">, SLIV and PDSCH mapping type) provides a table for candidate PDSCH receptions. </w:t>
      </w:r>
    </w:p>
    <w:p w14:paraId="568D3FC0" w14:textId="5A3C88F6" w:rsidR="00EB2E5A" w:rsidRPr="00E72EFA" w:rsidRDefault="00204605" w:rsidP="00E72EFA">
      <w:pPr>
        <w:pStyle w:val="ListParagraph"/>
        <w:jc w:val="both"/>
        <w:rPr>
          <w:rFonts w:ascii="Times New Roman" w:hAnsi="Times New Roman"/>
          <w:iCs/>
          <w:sz w:val="24"/>
          <w:szCs w:val="24"/>
        </w:rPr>
      </w:pPr>
      <w:r>
        <w:rPr>
          <w:rFonts w:ascii="Times New Roman" w:hAnsi="Times New Roman"/>
          <w:iCs/>
          <w:sz w:val="24"/>
          <w:szCs w:val="24"/>
        </w:rPr>
        <w:lastRenderedPageBreak/>
        <w:t>T</w:t>
      </w:r>
      <w:r w:rsidR="00EB2E5A">
        <w:rPr>
          <w:rFonts w:ascii="Times New Roman" w:hAnsi="Times New Roman"/>
          <w:iCs/>
          <w:sz w:val="24"/>
          <w:szCs w:val="24"/>
        </w:rPr>
        <w:t>he slot offset between a PSSCH and its corresponding PSFCH is (pre)configured per resource pool, which also depends on PSFCH periodicity.</w:t>
      </w:r>
      <w:r w:rsidR="00E72EFA">
        <w:rPr>
          <w:rFonts w:ascii="Times New Roman" w:hAnsi="Times New Roman"/>
          <w:iCs/>
          <w:sz w:val="24"/>
          <w:szCs w:val="24"/>
        </w:rPr>
        <w:t xml:space="preserve"> </w:t>
      </w:r>
      <w:r w:rsidR="00EB2E5A" w:rsidRPr="00E72EFA">
        <w:rPr>
          <w:rFonts w:ascii="Times New Roman" w:hAnsi="Times New Roman"/>
          <w:iCs/>
          <w:sz w:val="24"/>
          <w:szCs w:val="24"/>
        </w:rPr>
        <w:t xml:space="preserve">The (pre)configured PSSCH time </w:t>
      </w:r>
      <w:r w:rsidR="00E72EFA">
        <w:rPr>
          <w:rFonts w:ascii="Times New Roman" w:hAnsi="Times New Roman"/>
          <w:iCs/>
          <w:sz w:val="24"/>
          <w:szCs w:val="24"/>
        </w:rPr>
        <w:t xml:space="preserve">domain </w:t>
      </w:r>
      <w:r w:rsidR="00EB2E5A" w:rsidRPr="00E72EFA">
        <w:rPr>
          <w:rFonts w:ascii="Times New Roman" w:hAnsi="Times New Roman"/>
          <w:iCs/>
          <w:sz w:val="24"/>
          <w:szCs w:val="24"/>
        </w:rPr>
        <w:t>resource</w:t>
      </w:r>
      <w:r w:rsidR="00E72EFA">
        <w:rPr>
          <w:rFonts w:ascii="Times New Roman" w:hAnsi="Times New Roman"/>
          <w:iCs/>
          <w:sz w:val="24"/>
          <w:szCs w:val="24"/>
        </w:rPr>
        <w:t>s</w:t>
      </w:r>
      <w:r w:rsidR="00EB2E5A" w:rsidRPr="00E72EFA">
        <w:rPr>
          <w:rFonts w:ascii="Times New Roman" w:hAnsi="Times New Roman"/>
          <w:iCs/>
          <w:sz w:val="24"/>
          <w:szCs w:val="24"/>
        </w:rPr>
        <w:t xml:space="preserve"> provide a table for candidate PSSCH </w:t>
      </w:r>
      <w:r w:rsidR="00E72EFA">
        <w:rPr>
          <w:rFonts w:ascii="Times New Roman" w:hAnsi="Times New Roman"/>
          <w:iCs/>
          <w:sz w:val="24"/>
          <w:szCs w:val="24"/>
        </w:rPr>
        <w:t>occasions</w:t>
      </w:r>
      <w:r w:rsidR="00EB2E5A" w:rsidRPr="00E72EFA">
        <w:rPr>
          <w:rFonts w:ascii="Times New Roman" w:hAnsi="Times New Roman"/>
          <w:iCs/>
          <w:sz w:val="24"/>
          <w:szCs w:val="24"/>
        </w:rPr>
        <w:t xml:space="preserve">, which </w:t>
      </w:r>
      <w:r w:rsidR="00E72EFA">
        <w:rPr>
          <w:rFonts w:ascii="Times New Roman" w:hAnsi="Times New Roman"/>
          <w:iCs/>
          <w:sz w:val="24"/>
          <w:szCs w:val="24"/>
        </w:rPr>
        <w:t>are associated with a</w:t>
      </w:r>
      <w:r w:rsidR="00EB2E5A" w:rsidRPr="00E72EFA">
        <w:rPr>
          <w:rFonts w:ascii="Times New Roman" w:hAnsi="Times New Roman"/>
          <w:iCs/>
          <w:sz w:val="24"/>
          <w:szCs w:val="24"/>
        </w:rPr>
        <w:t xml:space="preserve"> PSFCH</w:t>
      </w:r>
      <w:r w:rsidR="00E72EFA">
        <w:rPr>
          <w:rFonts w:ascii="Times New Roman" w:hAnsi="Times New Roman"/>
          <w:iCs/>
          <w:sz w:val="24"/>
          <w:szCs w:val="24"/>
        </w:rPr>
        <w:t xml:space="preserve"> occasion</w:t>
      </w:r>
      <w:r w:rsidR="00EB2E5A" w:rsidRPr="00E72EFA">
        <w:rPr>
          <w:rFonts w:ascii="Times New Roman" w:hAnsi="Times New Roman"/>
          <w:iCs/>
          <w:sz w:val="24"/>
          <w:szCs w:val="24"/>
        </w:rPr>
        <w:t xml:space="preserve">. </w:t>
      </w:r>
      <w:r w:rsidR="00E72EFA">
        <w:rPr>
          <w:rFonts w:ascii="Times New Roman" w:hAnsi="Times New Roman"/>
          <w:iCs/>
          <w:sz w:val="24"/>
          <w:szCs w:val="24"/>
        </w:rPr>
        <w:t>Note</w:t>
      </w:r>
      <w:r w:rsidR="00EB2E5A" w:rsidRPr="00E72EFA">
        <w:rPr>
          <w:rFonts w:ascii="Times New Roman" w:hAnsi="Times New Roman"/>
          <w:iCs/>
          <w:sz w:val="24"/>
          <w:szCs w:val="24"/>
        </w:rPr>
        <w:t xml:space="preserve"> the mapping from a PSFCH occasion to its associated PSSCH occasion </w:t>
      </w:r>
      <w:r w:rsidR="00E72EFA">
        <w:rPr>
          <w:rFonts w:ascii="Times New Roman" w:hAnsi="Times New Roman"/>
          <w:iCs/>
          <w:sz w:val="24"/>
          <w:szCs w:val="24"/>
        </w:rPr>
        <w:t>is</w:t>
      </w:r>
      <w:r w:rsidR="00EB2E5A" w:rsidRPr="00E72EFA">
        <w:rPr>
          <w:rFonts w:ascii="Times New Roman" w:hAnsi="Times New Roman"/>
          <w:iCs/>
          <w:sz w:val="24"/>
          <w:szCs w:val="24"/>
        </w:rPr>
        <w:t xml:space="preserve"> a one-to-many mapping </w:t>
      </w:r>
      <w:r w:rsidR="00E72EFA">
        <w:rPr>
          <w:rFonts w:ascii="Times New Roman" w:hAnsi="Times New Roman"/>
          <w:iCs/>
          <w:sz w:val="24"/>
          <w:szCs w:val="24"/>
        </w:rPr>
        <w:t>if</w:t>
      </w:r>
      <w:r w:rsidR="00EB2E5A" w:rsidRPr="00E72EFA">
        <w:rPr>
          <w:rFonts w:ascii="Times New Roman" w:hAnsi="Times New Roman"/>
          <w:iCs/>
          <w:sz w:val="24"/>
          <w:szCs w:val="24"/>
        </w:rPr>
        <w:t xml:space="preserve"> PSFCH periodicity</w:t>
      </w:r>
      <w:r w:rsidR="00E72EFA">
        <w:rPr>
          <w:rFonts w:ascii="Times New Roman" w:hAnsi="Times New Roman"/>
          <w:iCs/>
          <w:sz w:val="24"/>
          <w:szCs w:val="24"/>
        </w:rPr>
        <w:t xml:space="preserve"> is 2 or 4 slots</w:t>
      </w:r>
      <w:r w:rsidR="00EB2E5A" w:rsidRPr="00E72EFA">
        <w:rPr>
          <w:rFonts w:ascii="Times New Roman" w:hAnsi="Times New Roman"/>
          <w:iCs/>
          <w:sz w:val="24"/>
          <w:szCs w:val="24"/>
        </w:rPr>
        <w:t xml:space="preserve">. Hence, all possible PSSCH slots, which result in a PSFCH occasion at a given </w:t>
      </w:r>
      <m:oMath>
        <m:sSub>
          <m:sSubPr>
            <m:ctrlPr>
              <w:rPr>
                <w:rFonts w:ascii="Cambria Math" w:hAnsi="Cambria Math"/>
                <w:iCs/>
                <w:sz w:val="24"/>
                <w:szCs w:val="24"/>
              </w:rPr>
            </m:ctrlPr>
          </m:sSubPr>
          <m:e>
            <m:r>
              <m:rPr>
                <m:sty m:val="p"/>
              </m:rPr>
              <w:rPr>
                <w:rFonts w:ascii="Cambria Math" w:hAnsi="Cambria Math"/>
                <w:sz w:val="24"/>
                <w:szCs w:val="24"/>
              </w:rPr>
              <m:t>K</m:t>
            </m:r>
          </m:e>
          <m:sub>
            <m:r>
              <m:rPr>
                <m:sty m:val="p"/>
              </m:rPr>
              <w:rPr>
                <w:rFonts w:ascii="Cambria Math" w:hAnsi="Cambria Math"/>
                <w:sz w:val="24"/>
                <w:szCs w:val="24"/>
              </w:rPr>
              <m:t>1</m:t>
            </m:r>
          </m:sub>
        </m:sSub>
      </m:oMath>
      <w:r w:rsidR="00EB2E5A" w:rsidRPr="00E72EFA">
        <w:rPr>
          <w:rFonts w:ascii="Times New Roman" w:hAnsi="Times New Roman"/>
          <w:iCs/>
          <w:sz w:val="24"/>
          <w:szCs w:val="24"/>
        </w:rPr>
        <w:t xml:space="preserve"> offset from PUCCH, serve as candidate occasions for further processing. </w:t>
      </w:r>
    </w:p>
    <w:p w14:paraId="285DA09E" w14:textId="27F45D7D" w:rsidR="00EB2E5A" w:rsidRPr="00EB2E5A" w:rsidRDefault="00EB2E5A" w:rsidP="00EB2E5A">
      <w:pPr>
        <w:pStyle w:val="ListParagraph"/>
        <w:numPr>
          <w:ilvl w:val="0"/>
          <w:numId w:val="34"/>
        </w:numPr>
        <w:jc w:val="both"/>
        <w:rPr>
          <w:rFonts w:ascii="Times New Roman" w:hAnsi="Times New Roman"/>
          <w:iCs/>
          <w:sz w:val="24"/>
          <w:szCs w:val="24"/>
        </w:rPr>
      </w:pPr>
      <w:r w:rsidRPr="00EB2E5A">
        <w:rPr>
          <w:rFonts w:ascii="Times New Roman" w:hAnsi="Times New Roman"/>
          <w:iCs/>
          <w:sz w:val="24"/>
          <w:szCs w:val="24"/>
        </w:rPr>
        <w:t>The downlink sub-carrier spacing is replaced by the sidelink sub-carrier spacing</w:t>
      </w:r>
      <w:r>
        <w:rPr>
          <w:rFonts w:ascii="Times New Roman" w:hAnsi="Times New Roman"/>
          <w:iCs/>
          <w:sz w:val="24"/>
          <w:szCs w:val="24"/>
        </w:rPr>
        <w:t>.</w:t>
      </w:r>
    </w:p>
    <w:p w14:paraId="2AE79302" w14:textId="246D1BB2" w:rsidR="00EB2E5A" w:rsidRPr="00EB2E5A" w:rsidRDefault="00EB2E5A" w:rsidP="00EB2E5A">
      <w:pPr>
        <w:pStyle w:val="ListParagraph"/>
        <w:numPr>
          <w:ilvl w:val="0"/>
          <w:numId w:val="34"/>
        </w:numPr>
        <w:jc w:val="both"/>
        <w:rPr>
          <w:rFonts w:ascii="Times New Roman" w:hAnsi="Times New Roman"/>
          <w:iCs/>
          <w:sz w:val="24"/>
          <w:szCs w:val="24"/>
        </w:rPr>
      </w:pPr>
      <w:r w:rsidRPr="00EB2E5A">
        <w:rPr>
          <w:rFonts w:ascii="Times New Roman" w:hAnsi="Times New Roman"/>
          <w:iCs/>
          <w:sz w:val="24"/>
          <w:szCs w:val="24"/>
        </w:rPr>
        <w:t>The “tdd-UL-DL-ConfigurationCommon” and “tdd-UL-DL-ConfigurationDedicated” are replaced by the proper parameter for sidelink resources</w:t>
      </w:r>
      <w:r>
        <w:rPr>
          <w:rFonts w:ascii="Times New Roman" w:hAnsi="Times New Roman"/>
          <w:iCs/>
          <w:sz w:val="24"/>
          <w:szCs w:val="24"/>
        </w:rPr>
        <w:t>.</w:t>
      </w:r>
    </w:p>
    <w:p w14:paraId="166E8128" w14:textId="706C16D1" w:rsidR="00EB2E5A" w:rsidRPr="00EB2E5A" w:rsidRDefault="00EB2E5A" w:rsidP="00EB2E5A">
      <w:pPr>
        <w:pStyle w:val="ListParagraph"/>
        <w:numPr>
          <w:ilvl w:val="0"/>
          <w:numId w:val="34"/>
        </w:numPr>
        <w:jc w:val="both"/>
        <w:rPr>
          <w:rFonts w:ascii="Times New Roman" w:hAnsi="Times New Roman"/>
          <w:iCs/>
          <w:sz w:val="24"/>
          <w:szCs w:val="24"/>
        </w:rPr>
      </w:pPr>
      <w:r w:rsidRPr="00EB2E5A">
        <w:rPr>
          <w:rFonts w:ascii="Times New Roman" w:hAnsi="Times New Roman"/>
          <w:iCs/>
          <w:sz w:val="24"/>
          <w:szCs w:val="24"/>
        </w:rPr>
        <w:t>No CBG or 2-TB based operation for sidelink HARQ-ACK</w:t>
      </w:r>
      <w:r>
        <w:rPr>
          <w:rFonts w:ascii="Times New Roman" w:hAnsi="Times New Roman"/>
          <w:iCs/>
          <w:sz w:val="24"/>
          <w:szCs w:val="24"/>
        </w:rPr>
        <w:t>.</w:t>
      </w:r>
    </w:p>
    <w:p w14:paraId="025C4623" w14:textId="28FB539B" w:rsidR="00EB2E5A" w:rsidRDefault="00EB2E5A" w:rsidP="00EB2E5A">
      <w:pPr>
        <w:jc w:val="both"/>
      </w:pPr>
    </w:p>
    <w:p w14:paraId="41AFB6AB" w14:textId="580E3A36" w:rsidR="00EB2E5A" w:rsidRDefault="00EB2E5A" w:rsidP="00EB2E5A">
      <w:pPr>
        <w:jc w:val="both"/>
        <w:rPr>
          <w:i/>
        </w:rPr>
      </w:pPr>
      <w:r w:rsidRPr="001C381A">
        <w:rPr>
          <w:b/>
          <w:i/>
          <w:u w:val="single"/>
        </w:rPr>
        <w:t xml:space="preserve">Proposal </w:t>
      </w:r>
      <w:r>
        <w:rPr>
          <w:b/>
          <w:i/>
          <w:u w:val="single"/>
        </w:rPr>
        <w:t>8</w:t>
      </w:r>
      <w:r w:rsidRPr="001C381A">
        <w:rPr>
          <w:b/>
          <w:i/>
          <w:u w:val="single"/>
        </w:rPr>
        <w:t>:</w:t>
      </w:r>
      <w:r w:rsidRPr="001C381A">
        <w:rPr>
          <w:i/>
        </w:rPr>
        <w:t xml:space="preserve"> </w:t>
      </w:r>
      <w:r>
        <w:rPr>
          <w:i/>
        </w:rPr>
        <w:t xml:space="preserve">For type 1 sidelink HARQ-ACK codebook, </w:t>
      </w:r>
      <w:r w:rsidR="00E72EFA">
        <w:rPr>
          <w:i/>
        </w:rPr>
        <w:t>the</w:t>
      </w:r>
      <w:r>
        <w:rPr>
          <w:i/>
        </w:rPr>
        <w:t xml:space="preserve"> procedure</w:t>
      </w:r>
      <w:r w:rsidR="00204605">
        <w:rPr>
          <w:i/>
        </w:rPr>
        <w:t>s</w:t>
      </w:r>
      <w:r>
        <w:rPr>
          <w:i/>
        </w:rPr>
        <w:t xml:space="preserve"> </w:t>
      </w:r>
      <w:r w:rsidR="00E72EFA">
        <w:rPr>
          <w:i/>
        </w:rPr>
        <w:t>of</w:t>
      </w:r>
      <w:r>
        <w:rPr>
          <w:i/>
        </w:rPr>
        <w:t xml:space="preserve"> multiplexing downlink HARQ-ACKs </w:t>
      </w:r>
      <w:r w:rsidR="00204605">
        <w:rPr>
          <w:i/>
        </w:rPr>
        <w:t>are</w:t>
      </w:r>
      <w:r>
        <w:rPr>
          <w:i/>
        </w:rPr>
        <w:t xml:space="preserve"> reused with the following modifications:</w:t>
      </w:r>
    </w:p>
    <w:p w14:paraId="58AAC6BA" w14:textId="26A238E5" w:rsidR="00EB2E5A" w:rsidRDefault="00EB2E5A" w:rsidP="00EB2E5A">
      <w:pPr>
        <w:pStyle w:val="ListParagraph"/>
        <w:numPr>
          <w:ilvl w:val="0"/>
          <w:numId w:val="33"/>
        </w:numPr>
        <w:jc w:val="both"/>
        <w:rPr>
          <w:rFonts w:ascii="Times New Roman" w:hAnsi="Times New Roman"/>
          <w:i/>
          <w:sz w:val="24"/>
          <w:szCs w:val="24"/>
        </w:rPr>
      </w:pPr>
      <w:r>
        <w:rPr>
          <w:rFonts w:ascii="Times New Roman" w:hAnsi="Times New Roman"/>
          <w:i/>
          <w:sz w:val="24"/>
          <w:szCs w:val="24"/>
        </w:rPr>
        <w:t xml:space="preserve">The slot timing values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1</m:t>
            </m:r>
          </m:sub>
        </m:sSub>
      </m:oMath>
      <w:r>
        <w:rPr>
          <w:rFonts w:ascii="Times New Roman" w:hAnsi="Times New Roman"/>
          <w:i/>
          <w:sz w:val="24"/>
          <w:szCs w:val="24"/>
        </w:rPr>
        <w:t xml:space="preserve"> is replaced by the slot duration between the last PSFCH occasion of a sidelink grant and PUCCH.</w:t>
      </w:r>
    </w:p>
    <w:p w14:paraId="7E6B3273" w14:textId="45DC5E09" w:rsidR="00EB2E5A" w:rsidRPr="00EB2E5A" w:rsidRDefault="00EB2E5A" w:rsidP="00EB2E5A">
      <w:pPr>
        <w:pStyle w:val="ListParagraph"/>
        <w:numPr>
          <w:ilvl w:val="0"/>
          <w:numId w:val="33"/>
        </w:numPr>
        <w:jc w:val="both"/>
        <w:rPr>
          <w:rFonts w:ascii="Times New Roman" w:hAnsi="Times New Roman"/>
          <w:i/>
          <w:sz w:val="24"/>
          <w:szCs w:val="24"/>
        </w:rPr>
      </w:pPr>
      <w:r w:rsidRPr="00EB2E5A">
        <w:rPr>
          <w:rFonts w:ascii="Times New Roman" w:hAnsi="Times New Roman"/>
          <w:i/>
          <w:sz w:val="24"/>
          <w:szCs w:val="24"/>
        </w:rPr>
        <w:t>PDSCH time resource is replaced by PSSCH time resource associated with the last PSFCH occasion.</w:t>
      </w:r>
    </w:p>
    <w:p w14:paraId="4CC31F34" w14:textId="52F72F17" w:rsidR="00EB2E5A" w:rsidRDefault="00EB2E5A" w:rsidP="00EB2E5A">
      <w:pPr>
        <w:pStyle w:val="ListParagraph"/>
        <w:numPr>
          <w:ilvl w:val="0"/>
          <w:numId w:val="33"/>
        </w:numPr>
        <w:jc w:val="both"/>
        <w:rPr>
          <w:rFonts w:ascii="Times New Roman" w:hAnsi="Times New Roman"/>
          <w:i/>
          <w:sz w:val="24"/>
          <w:szCs w:val="24"/>
        </w:rPr>
      </w:pPr>
      <w:r>
        <w:rPr>
          <w:rFonts w:ascii="Times New Roman" w:hAnsi="Times New Roman"/>
          <w:i/>
          <w:sz w:val="24"/>
          <w:szCs w:val="24"/>
        </w:rPr>
        <w:t>The downlink sub-carrier spacing is replaced by the sidelink sub-carrier spacing.</w:t>
      </w:r>
    </w:p>
    <w:p w14:paraId="43B445F2" w14:textId="5C7DDFFD" w:rsidR="00EB2E5A" w:rsidRDefault="00EB2E5A" w:rsidP="00EB2E5A">
      <w:pPr>
        <w:pStyle w:val="ListParagraph"/>
        <w:numPr>
          <w:ilvl w:val="0"/>
          <w:numId w:val="33"/>
        </w:numPr>
        <w:jc w:val="both"/>
        <w:rPr>
          <w:rFonts w:ascii="Times New Roman" w:hAnsi="Times New Roman"/>
          <w:i/>
          <w:sz w:val="24"/>
          <w:szCs w:val="24"/>
        </w:rPr>
      </w:pPr>
      <w:r>
        <w:rPr>
          <w:rFonts w:ascii="Times New Roman" w:hAnsi="Times New Roman"/>
          <w:i/>
          <w:sz w:val="24"/>
          <w:szCs w:val="24"/>
        </w:rPr>
        <w:t>The “tdd-UL-DL-ConfigurationCommon” and “tdd-UL-DL-ConfigurationDedicated” are replaced by the proper parameter for sidelink resources.</w:t>
      </w:r>
    </w:p>
    <w:p w14:paraId="1F15B333" w14:textId="6406D13D" w:rsidR="00EB2E5A" w:rsidRPr="00EB2E5A" w:rsidRDefault="00EB2E5A" w:rsidP="00EB2E5A">
      <w:pPr>
        <w:pStyle w:val="ListParagraph"/>
        <w:numPr>
          <w:ilvl w:val="0"/>
          <w:numId w:val="33"/>
        </w:numPr>
        <w:jc w:val="both"/>
        <w:rPr>
          <w:rFonts w:ascii="Times New Roman" w:hAnsi="Times New Roman"/>
          <w:i/>
          <w:sz w:val="24"/>
          <w:szCs w:val="24"/>
        </w:rPr>
      </w:pPr>
      <w:r>
        <w:rPr>
          <w:rFonts w:ascii="Times New Roman" w:hAnsi="Times New Roman"/>
          <w:i/>
          <w:sz w:val="24"/>
          <w:szCs w:val="24"/>
        </w:rPr>
        <w:t>No CBG or 2-TB based operation for sidelink HARQ-ACK.</w:t>
      </w:r>
    </w:p>
    <w:p w14:paraId="2866F424" w14:textId="75B3892E" w:rsidR="00EB2E5A" w:rsidRDefault="00EB2E5A" w:rsidP="00EB2E5A">
      <w:pPr>
        <w:jc w:val="both"/>
      </w:pPr>
    </w:p>
    <w:p w14:paraId="03A2A7BF" w14:textId="7950C410" w:rsidR="00A501E9" w:rsidRDefault="00A501E9" w:rsidP="00EB2E5A">
      <w:pPr>
        <w:jc w:val="both"/>
      </w:pPr>
      <w:r>
        <w:t xml:space="preserve">To support type 2 sidelink HARQ-ACK codebook, a separate DAI is used for sidelink. </w:t>
      </w:r>
    </w:p>
    <w:p w14:paraId="659CA7E0" w14:textId="77777777" w:rsidR="00EB2E5A" w:rsidRDefault="00EB2E5A" w:rsidP="00EB2E5A">
      <w:pPr>
        <w:jc w:val="both"/>
      </w:pPr>
    </w:p>
    <w:p w14:paraId="6B1A7FBD" w14:textId="13406CFE" w:rsidR="00EB2E5A" w:rsidRDefault="00EB2E5A" w:rsidP="00EB2E5A">
      <w:pPr>
        <w:rPr>
          <w:i/>
        </w:rPr>
      </w:pPr>
      <w:r w:rsidRPr="001C381A">
        <w:rPr>
          <w:b/>
          <w:i/>
          <w:u w:val="single"/>
        </w:rPr>
        <w:t xml:space="preserve">Proposal </w:t>
      </w:r>
      <w:r>
        <w:rPr>
          <w:b/>
          <w:i/>
          <w:u w:val="single"/>
        </w:rPr>
        <w:t>9</w:t>
      </w:r>
      <w:r w:rsidRPr="001C381A">
        <w:rPr>
          <w:b/>
          <w:i/>
          <w:u w:val="single"/>
        </w:rPr>
        <w:t>:</w:t>
      </w:r>
      <w:r w:rsidRPr="001C381A">
        <w:rPr>
          <w:i/>
        </w:rPr>
        <w:t xml:space="preserve"> </w:t>
      </w:r>
      <w:r>
        <w:rPr>
          <w:i/>
        </w:rPr>
        <w:t>For type 2 sidelink HARQ-ACK codebook, a separate DAI is used for sidelink.</w:t>
      </w:r>
    </w:p>
    <w:p w14:paraId="537A205B" w14:textId="0F381482" w:rsidR="00A501E9" w:rsidRDefault="00A501E9" w:rsidP="00A501E9">
      <w:pPr>
        <w:rPr>
          <w:b/>
          <w:i/>
          <w:u w:val="single"/>
        </w:rPr>
      </w:pPr>
    </w:p>
    <w:p w14:paraId="49BA1151" w14:textId="10236763" w:rsidR="004A1FC9" w:rsidRDefault="00A501E9" w:rsidP="00A501E9">
      <w:pPr>
        <w:jc w:val="both"/>
        <w:rPr>
          <w:szCs w:val="20"/>
        </w:rPr>
      </w:pPr>
      <w:r>
        <w:rPr>
          <w:bCs/>
          <w:iCs/>
        </w:rPr>
        <w:t xml:space="preserve">It was concluded </w:t>
      </w:r>
      <w:r>
        <w:rPr>
          <w:bCs/>
          <w:iCs/>
        </w:rPr>
        <w:fldChar w:fldCharType="begin"/>
      </w:r>
      <w:r>
        <w:rPr>
          <w:bCs/>
          <w:iCs/>
        </w:rPr>
        <w:instrText xml:space="preserve"> REF _Ref30341138 \r \h  \* MERGEFORMAT </w:instrText>
      </w:r>
      <w:r>
        <w:rPr>
          <w:bCs/>
          <w:iCs/>
        </w:rPr>
      </w:r>
      <w:r>
        <w:rPr>
          <w:bCs/>
          <w:iCs/>
        </w:rPr>
        <w:fldChar w:fldCharType="separate"/>
      </w:r>
      <w:r w:rsidR="009A18A9">
        <w:rPr>
          <w:bCs/>
          <w:iCs/>
        </w:rPr>
        <w:t>[4]</w:t>
      </w:r>
      <w:r>
        <w:rPr>
          <w:bCs/>
          <w:iCs/>
        </w:rPr>
        <w:fldChar w:fldCharType="end"/>
      </w:r>
      <w:r>
        <w:rPr>
          <w:bCs/>
          <w:iCs/>
        </w:rPr>
        <w:t xml:space="preserve"> of </w:t>
      </w:r>
      <w:r>
        <w:rPr>
          <w:szCs w:val="20"/>
        </w:rPr>
        <w:t>n</w:t>
      </w:r>
      <w:r w:rsidRPr="00B45711">
        <w:rPr>
          <w:szCs w:val="20"/>
        </w:rPr>
        <w:t>o support of multiplexing of SL HARQ and Uu UCI on PUCCH or PUSCH in Rel-16</w:t>
      </w:r>
      <w:r>
        <w:rPr>
          <w:szCs w:val="20"/>
        </w:rPr>
        <w:t>.</w:t>
      </w:r>
    </w:p>
    <w:p w14:paraId="18C20B5C" w14:textId="151F49A3" w:rsidR="004A1FC9" w:rsidRDefault="004A1FC9" w:rsidP="00A501E9">
      <w:pPr>
        <w:jc w:val="both"/>
        <w:rPr>
          <w:szCs w:val="20"/>
        </w:rPr>
      </w:pPr>
    </w:p>
    <w:p w14:paraId="05FF67B2" w14:textId="10E198B4" w:rsidR="004A1FC9" w:rsidRDefault="004A1FC9" w:rsidP="00A501E9">
      <w:pPr>
        <w:jc w:val="both"/>
        <w:rPr>
          <w:szCs w:val="20"/>
        </w:rPr>
      </w:pPr>
      <w:r>
        <w:rPr>
          <w:szCs w:val="20"/>
        </w:rPr>
        <w:t xml:space="preserve">One may argue that time collision between sidelink HARQ report and Uu UCI </w:t>
      </w:r>
      <w:r w:rsidR="00E72EFA">
        <w:rPr>
          <w:szCs w:val="20"/>
        </w:rPr>
        <w:t>is</w:t>
      </w:r>
      <w:r>
        <w:rPr>
          <w:szCs w:val="20"/>
        </w:rPr>
        <w:t xml:space="preserve"> avoid</w:t>
      </w:r>
      <w:r w:rsidR="00E72EFA">
        <w:rPr>
          <w:szCs w:val="20"/>
        </w:rPr>
        <w:t>able</w:t>
      </w:r>
      <w:r>
        <w:rPr>
          <w:szCs w:val="20"/>
        </w:rPr>
        <w:t xml:space="preserve"> by proper gNB scheduling. However, in our view, this issue </w:t>
      </w:r>
      <w:r w:rsidR="00E72EFA">
        <w:rPr>
          <w:szCs w:val="20"/>
        </w:rPr>
        <w:t xml:space="preserve">may </w:t>
      </w:r>
      <w:r>
        <w:rPr>
          <w:szCs w:val="20"/>
        </w:rPr>
        <w:t xml:space="preserve">not be fully addressed by gNB scheduling, especially with mixed URLLC and sidelink traffic. </w:t>
      </w:r>
    </w:p>
    <w:p w14:paraId="6C6FB58C" w14:textId="77777777" w:rsidR="004A1FC9" w:rsidRDefault="004A1FC9" w:rsidP="00A501E9">
      <w:pPr>
        <w:jc w:val="both"/>
        <w:rPr>
          <w:szCs w:val="20"/>
        </w:rPr>
      </w:pPr>
    </w:p>
    <w:p w14:paraId="0DDE63EF" w14:textId="3649C635" w:rsidR="004A1FC9" w:rsidRDefault="004A1FC9" w:rsidP="004A1FC9">
      <w:pPr>
        <w:jc w:val="both"/>
        <w:rPr>
          <w:szCs w:val="20"/>
        </w:rPr>
      </w:pPr>
      <w:r>
        <w:rPr>
          <w:szCs w:val="20"/>
        </w:rPr>
        <w:t xml:space="preserve">In the case of mixed URLLC and eMBB traffic in Rel 16 URLLC discussions, </w:t>
      </w:r>
      <w:r w:rsidRPr="004A1FC9">
        <w:rPr>
          <w:rFonts w:hint="eastAsia"/>
          <w:szCs w:val="20"/>
        </w:rPr>
        <w:t xml:space="preserve">the intra-UE collision handling of URLLC and eMBB uplink transmissions is </w:t>
      </w:r>
      <w:r w:rsidR="00204605">
        <w:rPr>
          <w:szCs w:val="20"/>
        </w:rPr>
        <w:t>via</w:t>
      </w:r>
      <w:r w:rsidRPr="004A1FC9">
        <w:rPr>
          <w:rFonts w:hint="eastAsia"/>
          <w:szCs w:val="20"/>
        </w:rPr>
        <w:t xml:space="preserve"> a way that URLLC HARQ-ACK</w:t>
      </w:r>
      <w:r>
        <w:rPr>
          <w:szCs w:val="20"/>
        </w:rPr>
        <w:t>/SR/CSI/PUSCH</w:t>
      </w:r>
      <w:r w:rsidRPr="004A1FC9">
        <w:rPr>
          <w:rFonts w:hint="eastAsia"/>
          <w:szCs w:val="20"/>
        </w:rPr>
        <w:t xml:space="preserve"> is prioritized over eMBB HARQ-ACK</w:t>
      </w:r>
      <w:r>
        <w:rPr>
          <w:szCs w:val="20"/>
        </w:rPr>
        <w:t>/SR/PUSCH</w:t>
      </w:r>
      <w:r w:rsidRPr="004A1FC9">
        <w:rPr>
          <w:rFonts w:hint="eastAsia"/>
          <w:szCs w:val="20"/>
        </w:rPr>
        <w:t xml:space="preserve"> (i.e. eMBB </w:t>
      </w:r>
      <w:r>
        <w:rPr>
          <w:szCs w:val="20"/>
        </w:rPr>
        <w:t>uplink transmissions are</w:t>
      </w:r>
      <w:r w:rsidRPr="004A1FC9">
        <w:rPr>
          <w:rFonts w:hint="eastAsia"/>
          <w:szCs w:val="20"/>
        </w:rPr>
        <w:t xml:space="preserve"> dropped). </w:t>
      </w:r>
    </w:p>
    <w:p w14:paraId="397231BC" w14:textId="77777777" w:rsidR="004A1FC9" w:rsidRDefault="004A1FC9" w:rsidP="004A1FC9">
      <w:pPr>
        <w:jc w:val="both"/>
        <w:rPr>
          <w:szCs w:val="20"/>
        </w:rPr>
      </w:pPr>
    </w:p>
    <w:p w14:paraId="4C67575A" w14:textId="7E8633BD" w:rsidR="004A1FC9" w:rsidRPr="004A1FC9" w:rsidRDefault="004A1FC9" w:rsidP="004A1FC9">
      <w:pPr>
        <w:jc w:val="both"/>
        <w:rPr>
          <w:szCs w:val="20"/>
        </w:rPr>
      </w:pPr>
      <w:r w:rsidRPr="004A1FC9">
        <w:rPr>
          <w:rFonts w:hint="eastAsia"/>
          <w:szCs w:val="20"/>
        </w:rPr>
        <w:t xml:space="preserve">The similar issue exists between URLLC </w:t>
      </w:r>
      <w:r>
        <w:rPr>
          <w:szCs w:val="20"/>
        </w:rPr>
        <w:t>uplink transmissions</w:t>
      </w:r>
      <w:r w:rsidRPr="004A1FC9">
        <w:rPr>
          <w:rFonts w:hint="eastAsia"/>
          <w:szCs w:val="20"/>
        </w:rPr>
        <w:t xml:space="preserve"> and </w:t>
      </w:r>
      <w:r>
        <w:rPr>
          <w:szCs w:val="20"/>
        </w:rPr>
        <w:t>sidelink</w:t>
      </w:r>
      <w:r w:rsidRPr="004A1FC9">
        <w:rPr>
          <w:rFonts w:hint="eastAsia"/>
          <w:szCs w:val="20"/>
        </w:rPr>
        <w:t xml:space="preserve"> HARQ report</w:t>
      </w:r>
      <w:r>
        <w:rPr>
          <w:szCs w:val="20"/>
        </w:rPr>
        <w:t xml:space="preserve"> or sidelink SR</w:t>
      </w:r>
      <w:r w:rsidRPr="004A1FC9">
        <w:rPr>
          <w:rFonts w:hint="eastAsia"/>
          <w:szCs w:val="20"/>
        </w:rPr>
        <w:t xml:space="preserve">. Consider an example that gNB </w:t>
      </w:r>
      <w:r w:rsidR="00E72EFA">
        <w:rPr>
          <w:szCs w:val="20"/>
        </w:rPr>
        <w:t>has scheduled</w:t>
      </w:r>
      <w:r w:rsidRPr="004A1FC9">
        <w:rPr>
          <w:rFonts w:hint="eastAsia"/>
          <w:szCs w:val="20"/>
        </w:rPr>
        <w:t xml:space="preserve"> sidelink HARQ report. For an </w:t>
      </w:r>
      <w:r w:rsidR="00E72EFA">
        <w:rPr>
          <w:szCs w:val="20"/>
        </w:rPr>
        <w:t xml:space="preserve">incoming </w:t>
      </w:r>
      <w:r w:rsidRPr="004A1FC9">
        <w:rPr>
          <w:rFonts w:hint="eastAsia"/>
          <w:szCs w:val="20"/>
        </w:rPr>
        <w:t xml:space="preserve">high priority </w:t>
      </w:r>
      <w:r>
        <w:rPr>
          <w:szCs w:val="20"/>
        </w:rPr>
        <w:t>downlink</w:t>
      </w:r>
      <w:r w:rsidRPr="004A1FC9">
        <w:rPr>
          <w:rFonts w:hint="eastAsia"/>
          <w:szCs w:val="20"/>
        </w:rPr>
        <w:t xml:space="preserve"> URLLC data, gNB need</w:t>
      </w:r>
      <w:r>
        <w:rPr>
          <w:szCs w:val="20"/>
        </w:rPr>
        <w:t>s</w:t>
      </w:r>
      <w:r w:rsidRPr="004A1FC9">
        <w:rPr>
          <w:rFonts w:hint="eastAsia"/>
          <w:szCs w:val="20"/>
        </w:rPr>
        <w:t xml:space="preserve"> to schedule URLLC HARQ-ACK feedback </w:t>
      </w:r>
      <w:r w:rsidR="00E72EFA">
        <w:rPr>
          <w:szCs w:val="20"/>
        </w:rPr>
        <w:t>at time overlap</w:t>
      </w:r>
      <w:r w:rsidR="00204605">
        <w:rPr>
          <w:szCs w:val="20"/>
        </w:rPr>
        <w:t>ping</w:t>
      </w:r>
      <w:r w:rsidR="00E72EFA">
        <w:rPr>
          <w:szCs w:val="20"/>
        </w:rPr>
        <w:t xml:space="preserve"> with</w:t>
      </w:r>
      <w:r w:rsidRPr="004A1FC9">
        <w:rPr>
          <w:rFonts w:hint="eastAsia"/>
          <w:szCs w:val="20"/>
        </w:rPr>
        <w:t xml:space="preserve"> </w:t>
      </w:r>
      <w:r w:rsidR="00E72EFA">
        <w:rPr>
          <w:szCs w:val="20"/>
        </w:rPr>
        <w:t>the</w:t>
      </w:r>
      <w:r w:rsidRPr="004A1FC9">
        <w:rPr>
          <w:rFonts w:hint="eastAsia"/>
          <w:szCs w:val="20"/>
        </w:rPr>
        <w:t xml:space="preserve"> scheduled </w:t>
      </w:r>
      <w:r w:rsidR="00E72EFA">
        <w:rPr>
          <w:szCs w:val="20"/>
        </w:rPr>
        <w:t>sidelink</w:t>
      </w:r>
      <w:r w:rsidRPr="004A1FC9">
        <w:rPr>
          <w:rFonts w:hint="eastAsia"/>
          <w:szCs w:val="20"/>
        </w:rPr>
        <w:t xml:space="preserve"> HARQ report. </w:t>
      </w:r>
      <w:r w:rsidR="00E72EFA">
        <w:rPr>
          <w:szCs w:val="20"/>
        </w:rPr>
        <w:t>I</w:t>
      </w:r>
      <w:r w:rsidR="00517557">
        <w:rPr>
          <w:szCs w:val="20"/>
        </w:rPr>
        <w:t xml:space="preserve">t is </w:t>
      </w:r>
      <w:r w:rsidR="00E72EFA">
        <w:rPr>
          <w:szCs w:val="20"/>
        </w:rPr>
        <w:t>desirable</w:t>
      </w:r>
      <w:r w:rsidR="00517557">
        <w:rPr>
          <w:szCs w:val="20"/>
        </w:rPr>
        <w:t xml:space="preserve"> that </w:t>
      </w:r>
      <w:r w:rsidRPr="004A1FC9">
        <w:rPr>
          <w:rFonts w:hint="eastAsia"/>
          <w:szCs w:val="20"/>
        </w:rPr>
        <w:t>UE drop</w:t>
      </w:r>
      <w:r w:rsidR="00517557">
        <w:rPr>
          <w:szCs w:val="20"/>
        </w:rPr>
        <w:t>s</w:t>
      </w:r>
      <w:r w:rsidRPr="004A1FC9">
        <w:rPr>
          <w:rFonts w:hint="eastAsia"/>
          <w:szCs w:val="20"/>
        </w:rPr>
        <w:t xml:space="preserve"> </w:t>
      </w:r>
      <w:r w:rsidR="00E72EFA">
        <w:rPr>
          <w:szCs w:val="20"/>
        </w:rPr>
        <w:t>sidelink</w:t>
      </w:r>
      <w:r w:rsidRPr="004A1FC9">
        <w:rPr>
          <w:rFonts w:hint="eastAsia"/>
          <w:szCs w:val="20"/>
        </w:rPr>
        <w:t xml:space="preserve"> HARQ report</w:t>
      </w:r>
      <w:r w:rsidR="00517557">
        <w:rPr>
          <w:szCs w:val="20"/>
        </w:rPr>
        <w:t xml:space="preserve"> and </w:t>
      </w:r>
      <w:r w:rsidR="00E72EFA">
        <w:rPr>
          <w:szCs w:val="20"/>
        </w:rPr>
        <w:t>transmits only</w:t>
      </w:r>
      <w:r w:rsidR="00517557">
        <w:rPr>
          <w:szCs w:val="20"/>
        </w:rPr>
        <w:t xml:space="preserve"> URLLC HARQ-ACK</w:t>
      </w:r>
      <w:r w:rsidRPr="004A1FC9">
        <w:rPr>
          <w:rFonts w:hint="eastAsia"/>
          <w:szCs w:val="20"/>
        </w:rPr>
        <w:t>.</w:t>
      </w:r>
      <w:r w:rsidR="00517557">
        <w:rPr>
          <w:szCs w:val="20"/>
        </w:rPr>
        <w:t xml:space="preserve"> </w:t>
      </w:r>
      <w:r>
        <w:rPr>
          <w:szCs w:val="20"/>
        </w:rPr>
        <w:t xml:space="preserve">In general, the URLLC HARQ-ACK/SR/CSI/PUSCH </w:t>
      </w:r>
      <w:r w:rsidR="00E72EFA">
        <w:rPr>
          <w:szCs w:val="20"/>
        </w:rPr>
        <w:t>is</w:t>
      </w:r>
      <w:r>
        <w:rPr>
          <w:szCs w:val="20"/>
        </w:rPr>
        <w:t xml:space="preserve"> prioritized over sidelink HARQ report or sidelink SR. </w:t>
      </w:r>
    </w:p>
    <w:p w14:paraId="633F90A6" w14:textId="77777777" w:rsidR="00A501E9" w:rsidRPr="00A501E9" w:rsidRDefault="00A501E9" w:rsidP="00A501E9">
      <w:pPr>
        <w:rPr>
          <w:bCs/>
          <w:iCs/>
        </w:rPr>
      </w:pPr>
    </w:p>
    <w:p w14:paraId="51BEA6B1" w14:textId="436FB76B" w:rsidR="00EB2E5A" w:rsidRPr="00517557" w:rsidRDefault="00A501E9" w:rsidP="00517557">
      <w:pPr>
        <w:jc w:val="both"/>
        <w:rPr>
          <w:i/>
        </w:rPr>
      </w:pPr>
      <w:r w:rsidRPr="001C381A">
        <w:rPr>
          <w:b/>
          <w:i/>
          <w:u w:val="single"/>
        </w:rPr>
        <w:t xml:space="preserve">Proposal </w:t>
      </w:r>
      <w:r w:rsidR="004A1FC9">
        <w:rPr>
          <w:b/>
          <w:i/>
          <w:u w:val="single"/>
        </w:rPr>
        <w:t>10</w:t>
      </w:r>
      <w:r w:rsidRPr="001C381A">
        <w:rPr>
          <w:b/>
          <w:i/>
          <w:u w:val="single"/>
        </w:rPr>
        <w:t>:</w:t>
      </w:r>
      <w:r w:rsidRPr="001C381A">
        <w:rPr>
          <w:i/>
        </w:rPr>
        <w:t xml:space="preserve"> </w:t>
      </w:r>
      <w:r w:rsidR="004A1FC9">
        <w:rPr>
          <w:i/>
        </w:rPr>
        <w:t>The prioritization between sidelink HARQ report and Uu UCI should be defined. In case of time overlap, URLLC uplink transmissions are prioritized over sidelink HARQ report or sidelink SR, where the latter is dropped.</w:t>
      </w:r>
    </w:p>
    <w:p w14:paraId="553E697D" w14:textId="575EEA8B" w:rsidR="00446D27" w:rsidRDefault="00446D27" w:rsidP="00CD73BE">
      <w:pPr>
        <w:pStyle w:val="Heading2"/>
        <w:ind w:left="720" w:hanging="720"/>
        <w:rPr>
          <w:sz w:val="28"/>
        </w:rPr>
      </w:pPr>
      <w:r>
        <w:rPr>
          <w:sz w:val="28"/>
        </w:rPr>
        <w:lastRenderedPageBreak/>
        <w:t>HARQ process ID determination for configured grant</w:t>
      </w:r>
    </w:p>
    <w:p w14:paraId="4B186EB7" w14:textId="6C3F0F53" w:rsidR="00446D27" w:rsidRDefault="00446D27" w:rsidP="00446D27">
      <w:pPr>
        <w:jc w:val="both"/>
      </w:pPr>
      <w:r>
        <w:t xml:space="preserve">In NR Uu, an uplink configured grant may have multiple HARQ processes and the number of HARQ processes is </w:t>
      </w:r>
      <w:r w:rsidR="00204605">
        <w:t xml:space="preserve">a </w:t>
      </w:r>
      <w:r>
        <w:t xml:space="preserve">part of configuration of </w:t>
      </w:r>
      <w:r w:rsidR="00204605">
        <w:t>uplink</w:t>
      </w:r>
      <w:r>
        <w:t xml:space="preserve"> configured grant. This similar scheme </w:t>
      </w:r>
      <w:r w:rsidR="00204605">
        <w:t>should</w:t>
      </w:r>
      <w:r>
        <w:t xml:space="preserve"> be extended to sidelink configured grant, i.e., multiple HARQ processes </w:t>
      </w:r>
      <w:r w:rsidR="00204605">
        <w:t>are</w:t>
      </w:r>
      <w:r>
        <w:t xml:space="preserve"> allocated to a sidelink configured grant. This increases the throughput of sidelink transmissions.</w:t>
      </w:r>
    </w:p>
    <w:p w14:paraId="43CA923C" w14:textId="4D58E994" w:rsidR="00446D27" w:rsidRDefault="00446D27" w:rsidP="00446D27"/>
    <w:p w14:paraId="74FC7D6A" w14:textId="21FB7830" w:rsidR="00446D27" w:rsidRDefault="00204605" w:rsidP="00446D27">
      <w:pPr>
        <w:jc w:val="both"/>
      </w:pPr>
      <w:r>
        <w:t xml:space="preserve">A sidelink dynamic grant is used </w:t>
      </w:r>
      <w:r w:rsidR="00446D27">
        <w:t>to provide resources for retransmission for a configured grant. Since a HARQ process ID is contained in this dynamic grant, gNB needs to calculate the HARQ process ID for the dynamic grant</w:t>
      </w:r>
      <w:r>
        <w:t xml:space="preserve"> for retransmission</w:t>
      </w:r>
      <w:r w:rsidR="00446D27">
        <w:t>. Like in Uu, the HARQ process ID for sidelink</w:t>
      </w:r>
      <w:r>
        <w:t xml:space="preserve"> is</w:t>
      </w:r>
      <w:r w:rsidR="00446D27">
        <w:t xml:space="preserve"> obtained based on the sidelink slot</w:t>
      </w:r>
      <w:r>
        <w:t xml:space="preserve"> index</w:t>
      </w:r>
      <w:r w:rsidR="00446D27">
        <w:t xml:space="preserve"> for the initial sidelink transmission, configured grant periodicity and the number of HARQ processes in a </w:t>
      </w:r>
      <w:r>
        <w:t xml:space="preserve">sidelink </w:t>
      </w:r>
      <w:r w:rsidR="00446D27">
        <w:t>configured grant.</w:t>
      </w:r>
      <w:r>
        <w:t xml:space="preserve"> </w:t>
      </w:r>
    </w:p>
    <w:p w14:paraId="43A3FD7F" w14:textId="0540CCA1" w:rsidR="00446D27" w:rsidRDefault="00446D27" w:rsidP="00446D27">
      <w:pPr>
        <w:jc w:val="both"/>
      </w:pPr>
    </w:p>
    <w:p w14:paraId="21F6E7A6" w14:textId="2C79D8FD" w:rsidR="00446D27" w:rsidRDefault="00446D27" w:rsidP="00446D27">
      <w:pPr>
        <w:jc w:val="both"/>
      </w:pPr>
      <w:r>
        <w:t xml:space="preserve">Since multiple configured grant configurations are supported for sidelink, the </w:t>
      </w:r>
      <w:r w:rsidR="00E72EFA">
        <w:t>exact</w:t>
      </w:r>
      <w:r>
        <w:t xml:space="preserve"> HARQ process IDs</w:t>
      </w:r>
      <w:r w:rsidR="00E72EFA">
        <w:t xml:space="preserve"> </w:t>
      </w:r>
      <w:r w:rsidR="00204605">
        <w:t xml:space="preserve">should be </w:t>
      </w:r>
      <w:r w:rsidR="00E72EFA">
        <w:t>allocated</w:t>
      </w:r>
      <w:r>
        <w:t xml:space="preserve"> to each configured grant to avoid HARQ process ID ambiguity. Hence, the sidelink configured grant configuration includes the associated HARQ process IDs.  </w:t>
      </w:r>
    </w:p>
    <w:p w14:paraId="00D56CF5" w14:textId="16C1A7AE" w:rsidR="00446D27" w:rsidRDefault="00446D27" w:rsidP="00446D27"/>
    <w:p w14:paraId="7018DC3A" w14:textId="7A5F1877" w:rsidR="00892BC9" w:rsidRPr="004A1FC9" w:rsidRDefault="00446D27" w:rsidP="004A1FC9">
      <w:pPr>
        <w:jc w:val="both"/>
        <w:rPr>
          <w:i/>
        </w:rPr>
      </w:pPr>
      <w:r w:rsidRPr="001C381A">
        <w:rPr>
          <w:b/>
          <w:i/>
          <w:u w:val="single"/>
        </w:rPr>
        <w:t xml:space="preserve">Proposal </w:t>
      </w:r>
      <w:r w:rsidR="004A1FC9">
        <w:rPr>
          <w:b/>
          <w:i/>
          <w:u w:val="single"/>
        </w:rPr>
        <w:t>11</w:t>
      </w:r>
      <w:r w:rsidRPr="001C381A">
        <w:rPr>
          <w:b/>
          <w:i/>
          <w:u w:val="single"/>
        </w:rPr>
        <w:t>:</w:t>
      </w:r>
      <w:r w:rsidRPr="001C381A">
        <w:rPr>
          <w:i/>
        </w:rPr>
        <w:t xml:space="preserve"> </w:t>
      </w:r>
      <w:r>
        <w:rPr>
          <w:i/>
        </w:rPr>
        <w:t>HARQ process ID of a configured grant is determined by the physical resource of the first sidelink transmission. A sidelink configured grant configuration includes its associated HARQ process IDs.</w:t>
      </w:r>
    </w:p>
    <w:p w14:paraId="12AB906C" w14:textId="77777777" w:rsidR="00EB2E5A" w:rsidRDefault="00EB2E5A" w:rsidP="00145FE2">
      <w:pPr>
        <w:rPr>
          <w:rFonts w:eastAsia="SimSun"/>
          <w:b/>
          <w:i/>
          <w:sz w:val="22"/>
          <w:szCs w:val="22"/>
        </w:rPr>
      </w:pPr>
    </w:p>
    <w:p w14:paraId="2896E657" w14:textId="2DF29AD0" w:rsidR="00854A60" w:rsidRPr="00A6576F" w:rsidRDefault="009C5A97" w:rsidP="00FB330B">
      <w:pPr>
        <w:pStyle w:val="Heading1"/>
      </w:pPr>
      <w:r w:rsidRPr="00A6576F">
        <w:t>Conclusion</w:t>
      </w:r>
    </w:p>
    <w:p w14:paraId="56311B75" w14:textId="256481E6"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009A18A9">
        <w:rPr>
          <w:rFonts w:eastAsia="MS Mincho"/>
          <w:lang w:eastAsia="ja-JP"/>
        </w:rPr>
        <w:t>discussed remaining details on mode 1 resource allocation</w:t>
      </w:r>
      <w:r w:rsidR="005556E9" w:rsidRPr="00D8146E">
        <w:rPr>
          <w:rFonts w:eastAsia="MS Mincho"/>
          <w:lang w:eastAsia="ja-JP"/>
        </w:rPr>
        <w:t xml:space="preserve">. </w:t>
      </w:r>
      <w:r w:rsidRPr="00D8146E">
        <w:t>Our</w:t>
      </w:r>
      <w:r>
        <w:t xml:space="preserve"> proposals are as follows:</w:t>
      </w:r>
    </w:p>
    <w:p w14:paraId="2C188FE0" w14:textId="1BD80C27" w:rsidR="008A456C" w:rsidRDefault="008A456C" w:rsidP="000A1967">
      <w:pPr>
        <w:rPr>
          <w:rFonts w:eastAsia="MS Mincho"/>
          <w:sz w:val="22"/>
          <w:szCs w:val="22"/>
          <w:lang w:eastAsia="ja-JP"/>
        </w:rPr>
      </w:pPr>
    </w:p>
    <w:p w14:paraId="0A0E02C9" w14:textId="77777777" w:rsidR="0091625A" w:rsidRDefault="0091625A" w:rsidP="0091625A">
      <w:pPr>
        <w:rPr>
          <w:i/>
          <w:iCs/>
          <w:szCs w:val="20"/>
          <w:lang w:eastAsia="x-none"/>
        </w:rPr>
      </w:pPr>
      <w:r w:rsidRPr="001C381A">
        <w:rPr>
          <w:b/>
          <w:i/>
          <w:u w:val="single"/>
        </w:rPr>
        <w:t>Proposal</w:t>
      </w:r>
      <w:r>
        <w:rPr>
          <w:b/>
          <w:i/>
          <w:u w:val="single"/>
        </w:rPr>
        <w:t xml:space="preserve"> 1</w:t>
      </w:r>
      <w:r w:rsidRPr="001C381A">
        <w:rPr>
          <w:b/>
          <w:i/>
          <w:u w:val="single"/>
        </w:rPr>
        <w:t>:</w:t>
      </w:r>
      <w:r w:rsidRPr="001C381A">
        <w:rPr>
          <w:i/>
        </w:rPr>
        <w:t xml:space="preserve"> </w:t>
      </w:r>
      <w:r>
        <w:rPr>
          <w:i/>
        </w:rPr>
        <w:t xml:space="preserve">In DCI format 3_0, the field of </w:t>
      </w:r>
      <w:r w:rsidRPr="00446D27">
        <w:rPr>
          <w:i/>
          <w:iCs/>
          <w:szCs w:val="20"/>
          <w:lang w:eastAsia="x-none"/>
        </w:rPr>
        <w:t>HARQ process ID</w:t>
      </w:r>
      <w:r>
        <w:rPr>
          <w:i/>
          <w:iCs/>
          <w:szCs w:val="20"/>
          <w:lang w:eastAsia="x-none"/>
        </w:rPr>
        <w:t xml:space="preserve"> has 4 bits; the field of time gap has 3 bits; the field of configuration index has 3 bits.</w:t>
      </w:r>
    </w:p>
    <w:p w14:paraId="4A570577" w14:textId="77777777" w:rsidR="009A18A9" w:rsidRDefault="009A18A9" w:rsidP="000A1967">
      <w:pPr>
        <w:rPr>
          <w:rFonts w:eastAsia="MS Mincho"/>
          <w:sz w:val="22"/>
          <w:szCs w:val="22"/>
          <w:lang w:eastAsia="ja-JP"/>
        </w:rPr>
      </w:pPr>
    </w:p>
    <w:p w14:paraId="4B12A3FC" w14:textId="77777777" w:rsidR="00204605" w:rsidRDefault="00204605" w:rsidP="00204605">
      <w:pPr>
        <w:jc w:val="both"/>
        <w:rPr>
          <w:i/>
          <w:iCs/>
          <w:szCs w:val="20"/>
          <w:lang w:eastAsia="x-none"/>
        </w:rPr>
      </w:pPr>
      <w:r w:rsidRPr="001C381A">
        <w:rPr>
          <w:b/>
          <w:i/>
          <w:u w:val="single"/>
        </w:rPr>
        <w:t>Proposal</w:t>
      </w:r>
      <w:r>
        <w:rPr>
          <w:b/>
          <w:i/>
          <w:u w:val="single"/>
        </w:rPr>
        <w:t xml:space="preserve"> 2</w:t>
      </w:r>
      <w:r w:rsidRPr="001C381A">
        <w:rPr>
          <w:b/>
          <w:i/>
          <w:u w:val="single"/>
        </w:rPr>
        <w:t>:</w:t>
      </w:r>
      <w:r w:rsidRPr="001C381A">
        <w:rPr>
          <w:i/>
        </w:rPr>
        <w:t xml:space="preserve"> </w:t>
      </w:r>
      <w:r>
        <w:rPr>
          <w:i/>
        </w:rPr>
        <w:t xml:space="preserve">To validate activating a type 2 sidelink configured grant in DCI format 3_0, the HARQ process ID is all 0’s and SCI format 0_1 field of frequency resource assignment is not all 1’s. To validate releasing a type 2 sidelink configured grant in DCI format 3_0, the HARQ process ID is all 0’s and SCI format 0_1 field of frequency resource assignment is all 1’s.   </w:t>
      </w:r>
    </w:p>
    <w:p w14:paraId="51AD766E" w14:textId="787C5A85" w:rsidR="009A18A9" w:rsidRDefault="009A18A9" w:rsidP="000A1967">
      <w:pPr>
        <w:rPr>
          <w:rFonts w:eastAsia="MS Mincho"/>
          <w:sz w:val="22"/>
          <w:szCs w:val="22"/>
          <w:lang w:eastAsia="ja-JP"/>
        </w:rPr>
      </w:pPr>
    </w:p>
    <w:p w14:paraId="398454B4" w14:textId="474724D3" w:rsidR="009A18A9" w:rsidRDefault="009A18A9" w:rsidP="009A18A9">
      <w:pPr>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sidRPr="00186C28">
        <w:rPr>
          <w:i/>
        </w:rPr>
        <w:t>The</w:t>
      </w:r>
      <w:r>
        <w:rPr>
          <w:i/>
        </w:rPr>
        <w:t xml:space="preserve"> NR</w:t>
      </w:r>
      <w:r w:rsidRPr="00186C28">
        <w:rPr>
          <w:i/>
        </w:rPr>
        <w:t xml:space="preserve"> DCI </w:t>
      </w:r>
      <w:r>
        <w:rPr>
          <w:i/>
        </w:rPr>
        <w:t xml:space="preserve">format 3_0 should be payload size aligned to NR DCI format 0_0 via zero-padding. </w:t>
      </w:r>
    </w:p>
    <w:p w14:paraId="0F5C8FDE" w14:textId="77777777" w:rsidR="009A18A9" w:rsidRPr="00446D27" w:rsidRDefault="009A18A9" w:rsidP="009A18A9">
      <w:pPr>
        <w:jc w:val="both"/>
        <w:rPr>
          <w:i/>
        </w:rPr>
      </w:pPr>
    </w:p>
    <w:p w14:paraId="693C3EEE" w14:textId="77777777" w:rsidR="009A18A9" w:rsidRPr="009B789C" w:rsidRDefault="009A18A9" w:rsidP="009A18A9">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For a dynamic sidelink grant when using sidelink HARQ feedback, there is only one HARQ-ACK bit for the grant and there is one PUCCH transmission occasion after the last granted sidelink resource.</w:t>
      </w:r>
    </w:p>
    <w:p w14:paraId="55A9A444" w14:textId="6D07E9A0" w:rsidR="009A18A9" w:rsidRDefault="009A18A9" w:rsidP="000A1967">
      <w:pPr>
        <w:rPr>
          <w:rFonts w:eastAsia="MS Mincho"/>
          <w:sz w:val="22"/>
          <w:szCs w:val="22"/>
          <w:lang w:eastAsia="ja-JP"/>
        </w:rPr>
      </w:pPr>
    </w:p>
    <w:p w14:paraId="30754EEA" w14:textId="77777777" w:rsidR="009A18A9" w:rsidRDefault="009A18A9" w:rsidP="009A18A9">
      <w:pPr>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 xml:space="preserve">For groupcast HARQ scheme option 2, when generating the HARQ ACK report to gNB for the sidelink transmissions corresponding to a grant, the transmitter UE uses the most recent PSFCH occasion associated with the sidelink transmissions. A receiver UE sends ACK on PSFCH corresponding to each retransmission if it decodes the corresponding TB. </w:t>
      </w:r>
    </w:p>
    <w:p w14:paraId="639A7EE2" w14:textId="20B85A75" w:rsidR="009A18A9" w:rsidRDefault="009A18A9" w:rsidP="000A1967">
      <w:pPr>
        <w:rPr>
          <w:rFonts w:eastAsia="MS Mincho"/>
          <w:sz w:val="22"/>
          <w:szCs w:val="22"/>
          <w:lang w:eastAsia="ja-JP"/>
        </w:rPr>
      </w:pPr>
    </w:p>
    <w:p w14:paraId="6830ED87" w14:textId="77777777" w:rsidR="009A18A9" w:rsidRDefault="009A18A9" w:rsidP="009A18A9">
      <w:pPr>
        <w:jc w:val="both"/>
        <w:rPr>
          <w:i/>
        </w:rPr>
      </w:pPr>
      <w:r w:rsidRPr="001C381A">
        <w:rPr>
          <w:b/>
          <w:i/>
          <w:u w:val="single"/>
        </w:rPr>
        <w:t xml:space="preserve">Proposal </w:t>
      </w:r>
      <w:r>
        <w:rPr>
          <w:b/>
          <w:i/>
          <w:u w:val="single"/>
        </w:rPr>
        <w:t>6</w:t>
      </w:r>
      <w:r w:rsidRPr="001C381A">
        <w:rPr>
          <w:b/>
          <w:i/>
          <w:u w:val="single"/>
        </w:rPr>
        <w:t>:</w:t>
      </w:r>
      <w:r w:rsidRPr="001C381A">
        <w:rPr>
          <w:i/>
        </w:rPr>
        <w:t xml:space="preserve"> </w:t>
      </w:r>
      <w:r>
        <w:rPr>
          <w:i/>
        </w:rPr>
        <w:t xml:space="preserve">If no PSCCH/PSSCH is transmitted in a set of resources for configured grant, then HARQ ACK is reported to gNB to indicate no need of additional sidelink resources. </w:t>
      </w:r>
    </w:p>
    <w:p w14:paraId="381542A3" w14:textId="77777777" w:rsidR="009A18A9" w:rsidRDefault="009A18A9" w:rsidP="009A18A9">
      <w:pPr>
        <w:rPr>
          <w:i/>
        </w:rPr>
      </w:pPr>
    </w:p>
    <w:p w14:paraId="22AA44F4" w14:textId="77777777" w:rsidR="009A18A9" w:rsidRPr="009F6C80" w:rsidRDefault="009A18A9" w:rsidP="009A18A9">
      <w:pPr>
        <w:jc w:val="both"/>
        <w:rPr>
          <w:i/>
        </w:rPr>
      </w:pPr>
      <w:r w:rsidRPr="001C381A">
        <w:rPr>
          <w:b/>
          <w:i/>
          <w:u w:val="single"/>
        </w:rPr>
        <w:t xml:space="preserve">Proposal </w:t>
      </w:r>
      <w:r>
        <w:rPr>
          <w:b/>
          <w:i/>
          <w:u w:val="single"/>
        </w:rPr>
        <w:t>7</w:t>
      </w:r>
      <w:r w:rsidRPr="001C381A">
        <w:rPr>
          <w:b/>
          <w:i/>
          <w:u w:val="single"/>
        </w:rPr>
        <w:t>:</w:t>
      </w:r>
      <w:r w:rsidRPr="001C381A">
        <w:rPr>
          <w:i/>
        </w:rPr>
        <w:t xml:space="preserve"> </w:t>
      </w:r>
      <w:r>
        <w:rPr>
          <w:i/>
        </w:rPr>
        <w:t xml:space="preserve">If </w:t>
      </w:r>
      <w:r w:rsidRPr="00051C4C">
        <w:rPr>
          <w:i/>
        </w:rPr>
        <w:t>the maximum number of HARQ re-transmissions for a TB</w:t>
      </w:r>
      <w:r>
        <w:rPr>
          <w:i/>
        </w:rPr>
        <w:t xml:space="preserve"> is reached, then HARQ ACK is reported to gNB to indicate no need of additional sidelink resources.  </w:t>
      </w:r>
    </w:p>
    <w:p w14:paraId="5B730FC5" w14:textId="77777777" w:rsidR="009A18A9" w:rsidRDefault="009A18A9" w:rsidP="000A1967">
      <w:pPr>
        <w:rPr>
          <w:rFonts w:eastAsia="MS Mincho"/>
          <w:sz w:val="22"/>
          <w:szCs w:val="22"/>
          <w:lang w:eastAsia="ja-JP"/>
        </w:rPr>
      </w:pPr>
    </w:p>
    <w:p w14:paraId="52A9C9AC" w14:textId="77777777" w:rsidR="00204605" w:rsidRDefault="00204605" w:rsidP="00204605">
      <w:pPr>
        <w:jc w:val="both"/>
        <w:rPr>
          <w:i/>
        </w:rPr>
      </w:pPr>
      <w:r w:rsidRPr="001C381A">
        <w:rPr>
          <w:b/>
          <w:i/>
          <w:u w:val="single"/>
        </w:rPr>
        <w:t xml:space="preserve">Proposal </w:t>
      </w:r>
      <w:r>
        <w:rPr>
          <w:b/>
          <w:i/>
          <w:u w:val="single"/>
        </w:rPr>
        <w:t>8</w:t>
      </w:r>
      <w:r w:rsidRPr="001C381A">
        <w:rPr>
          <w:b/>
          <w:i/>
          <w:u w:val="single"/>
        </w:rPr>
        <w:t>:</w:t>
      </w:r>
      <w:r w:rsidRPr="001C381A">
        <w:rPr>
          <w:i/>
        </w:rPr>
        <w:t xml:space="preserve"> </w:t>
      </w:r>
      <w:r>
        <w:rPr>
          <w:i/>
        </w:rPr>
        <w:t>For type 1 sidelink HARQ-ACK codebook, the procedures of multiplexing downlink HARQ-ACKs are reused with the following modifications:</w:t>
      </w:r>
    </w:p>
    <w:p w14:paraId="56AA9B6F" w14:textId="77777777" w:rsidR="00204605" w:rsidRDefault="00204605" w:rsidP="00204605">
      <w:pPr>
        <w:pStyle w:val="ListParagraph"/>
        <w:numPr>
          <w:ilvl w:val="0"/>
          <w:numId w:val="33"/>
        </w:numPr>
        <w:jc w:val="both"/>
        <w:rPr>
          <w:rFonts w:ascii="Times New Roman" w:hAnsi="Times New Roman"/>
          <w:i/>
          <w:sz w:val="24"/>
          <w:szCs w:val="24"/>
        </w:rPr>
      </w:pPr>
      <w:r>
        <w:rPr>
          <w:rFonts w:ascii="Times New Roman" w:hAnsi="Times New Roman"/>
          <w:i/>
          <w:sz w:val="24"/>
          <w:szCs w:val="24"/>
        </w:rPr>
        <w:t xml:space="preserve">The slot timing values </w:t>
      </w:r>
      <m:oMath>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1</m:t>
            </m:r>
          </m:sub>
        </m:sSub>
      </m:oMath>
      <w:r>
        <w:rPr>
          <w:rFonts w:ascii="Times New Roman" w:hAnsi="Times New Roman"/>
          <w:i/>
          <w:sz w:val="24"/>
          <w:szCs w:val="24"/>
        </w:rPr>
        <w:t xml:space="preserve"> is replaced by the slot duration between the last PSFCH occasion of a sidelink grant and PUCCH.</w:t>
      </w:r>
    </w:p>
    <w:p w14:paraId="6A19C3E5" w14:textId="77777777" w:rsidR="00204605" w:rsidRPr="00EB2E5A" w:rsidRDefault="00204605" w:rsidP="00204605">
      <w:pPr>
        <w:pStyle w:val="ListParagraph"/>
        <w:numPr>
          <w:ilvl w:val="0"/>
          <w:numId w:val="33"/>
        </w:numPr>
        <w:jc w:val="both"/>
        <w:rPr>
          <w:rFonts w:ascii="Times New Roman" w:hAnsi="Times New Roman"/>
          <w:i/>
          <w:sz w:val="24"/>
          <w:szCs w:val="24"/>
        </w:rPr>
      </w:pPr>
      <w:r w:rsidRPr="00EB2E5A">
        <w:rPr>
          <w:rFonts w:ascii="Times New Roman" w:hAnsi="Times New Roman"/>
          <w:i/>
          <w:sz w:val="24"/>
          <w:szCs w:val="24"/>
        </w:rPr>
        <w:t>PDSCH time resource is replaced by PSSCH time resource associated with the last PSFCH occasion.</w:t>
      </w:r>
    </w:p>
    <w:p w14:paraId="797D0879" w14:textId="77777777" w:rsidR="00204605" w:rsidRDefault="00204605" w:rsidP="00204605">
      <w:pPr>
        <w:pStyle w:val="ListParagraph"/>
        <w:numPr>
          <w:ilvl w:val="0"/>
          <w:numId w:val="33"/>
        </w:numPr>
        <w:jc w:val="both"/>
        <w:rPr>
          <w:rFonts w:ascii="Times New Roman" w:hAnsi="Times New Roman"/>
          <w:i/>
          <w:sz w:val="24"/>
          <w:szCs w:val="24"/>
        </w:rPr>
      </w:pPr>
      <w:r>
        <w:rPr>
          <w:rFonts w:ascii="Times New Roman" w:hAnsi="Times New Roman"/>
          <w:i/>
          <w:sz w:val="24"/>
          <w:szCs w:val="24"/>
        </w:rPr>
        <w:t>The downlink sub-carrier spacing is replaced by the sidelink sub-carrier spacing.</w:t>
      </w:r>
    </w:p>
    <w:p w14:paraId="4CBAF375" w14:textId="77777777" w:rsidR="00204605" w:rsidRDefault="00204605" w:rsidP="00204605">
      <w:pPr>
        <w:pStyle w:val="ListParagraph"/>
        <w:numPr>
          <w:ilvl w:val="0"/>
          <w:numId w:val="33"/>
        </w:numPr>
        <w:jc w:val="both"/>
        <w:rPr>
          <w:rFonts w:ascii="Times New Roman" w:hAnsi="Times New Roman"/>
          <w:i/>
          <w:sz w:val="24"/>
          <w:szCs w:val="24"/>
        </w:rPr>
      </w:pPr>
      <w:r>
        <w:rPr>
          <w:rFonts w:ascii="Times New Roman" w:hAnsi="Times New Roman"/>
          <w:i/>
          <w:sz w:val="24"/>
          <w:szCs w:val="24"/>
        </w:rPr>
        <w:t>The “tdd-UL-DL-ConfigurationCommon” and “tdd-UL-DL-ConfigurationDedicated” are replaced by the proper parameter for sidelink resources.</w:t>
      </w:r>
    </w:p>
    <w:p w14:paraId="3B1A9FC1" w14:textId="77777777" w:rsidR="00204605" w:rsidRPr="00EB2E5A" w:rsidRDefault="00204605" w:rsidP="00204605">
      <w:pPr>
        <w:pStyle w:val="ListParagraph"/>
        <w:numPr>
          <w:ilvl w:val="0"/>
          <w:numId w:val="33"/>
        </w:numPr>
        <w:jc w:val="both"/>
        <w:rPr>
          <w:rFonts w:ascii="Times New Roman" w:hAnsi="Times New Roman"/>
          <w:i/>
          <w:sz w:val="24"/>
          <w:szCs w:val="24"/>
        </w:rPr>
      </w:pPr>
      <w:r>
        <w:rPr>
          <w:rFonts w:ascii="Times New Roman" w:hAnsi="Times New Roman"/>
          <w:i/>
          <w:sz w:val="24"/>
          <w:szCs w:val="24"/>
        </w:rPr>
        <w:t>No CBG or 2-TB based operation for sidelink HARQ-ACK.</w:t>
      </w:r>
    </w:p>
    <w:p w14:paraId="1D356A6A" w14:textId="77777777" w:rsidR="009A18A9" w:rsidRDefault="009A18A9" w:rsidP="009A18A9">
      <w:pPr>
        <w:jc w:val="both"/>
      </w:pPr>
    </w:p>
    <w:p w14:paraId="25401A02" w14:textId="77777777" w:rsidR="009A18A9" w:rsidRDefault="009A18A9" w:rsidP="009A18A9">
      <w:pPr>
        <w:rPr>
          <w:i/>
        </w:rPr>
      </w:pPr>
      <w:r w:rsidRPr="001C381A">
        <w:rPr>
          <w:b/>
          <w:i/>
          <w:u w:val="single"/>
        </w:rPr>
        <w:t xml:space="preserve">Proposal </w:t>
      </w:r>
      <w:r>
        <w:rPr>
          <w:b/>
          <w:i/>
          <w:u w:val="single"/>
        </w:rPr>
        <w:t>9</w:t>
      </w:r>
      <w:r w:rsidRPr="001C381A">
        <w:rPr>
          <w:b/>
          <w:i/>
          <w:u w:val="single"/>
        </w:rPr>
        <w:t>:</w:t>
      </w:r>
      <w:r w:rsidRPr="001C381A">
        <w:rPr>
          <w:i/>
        </w:rPr>
        <w:t xml:space="preserve"> </w:t>
      </w:r>
      <w:r>
        <w:rPr>
          <w:i/>
        </w:rPr>
        <w:t>For type 2 sidelink HARQ-ACK codebook, a separate DAI is used for sidelink.</w:t>
      </w:r>
    </w:p>
    <w:p w14:paraId="0C633385" w14:textId="594D98C8" w:rsidR="00D8146E" w:rsidRDefault="00D8146E" w:rsidP="000A1967">
      <w:pPr>
        <w:rPr>
          <w:rFonts w:eastAsia="MS Mincho"/>
          <w:sz w:val="22"/>
          <w:szCs w:val="22"/>
          <w:lang w:eastAsia="ja-JP"/>
        </w:rPr>
      </w:pPr>
    </w:p>
    <w:p w14:paraId="23C4FE66" w14:textId="77777777" w:rsidR="009A18A9" w:rsidRPr="00517557" w:rsidRDefault="009A18A9" w:rsidP="009A18A9">
      <w:pPr>
        <w:jc w:val="both"/>
        <w:rPr>
          <w:i/>
        </w:rPr>
      </w:pPr>
      <w:r w:rsidRPr="001C381A">
        <w:rPr>
          <w:b/>
          <w:i/>
          <w:u w:val="single"/>
        </w:rPr>
        <w:t xml:space="preserve">Proposal </w:t>
      </w:r>
      <w:r>
        <w:rPr>
          <w:b/>
          <w:i/>
          <w:u w:val="single"/>
        </w:rPr>
        <w:t>10</w:t>
      </w:r>
      <w:r w:rsidRPr="001C381A">
        <w:rPr>
          <w:b/>
          <w:i/>
          <w:u w:val="single"/>
        </w:rPr>
        <w:t>:</w:t>
      </w:r>
      <w:r w:rsidRPr="001C381A">
        <w:rPr>
          <w:i/>
        </w:rPr>
        <w:t xml:space="preserve"> </w:t>
      </w:r>
      <w:r>
        <w:rPr>
          <w:i/>
        </w:rPr>
        <w:t xml:space="preserve">The prioritization between sidelink HARQ report and Uu UCI should be defined. In case of time overlap, URLLC uplink transmissions are prioritized over sidelink HARQ report or sidelink SR, where the latter is dropped. </w:t>
      </w:r>
    </w:p>
    <w:p w14:paraId="10EB0900" w14:textId="23AE6407" w:rsidR="009A18A9" w:rsidRDefault="009A18A9" w:rsidP="000A1967">
      <w:pPr>
        <w:rPr>
          <w:rFonts w:eastAsia="MS Mincho"/>
          <w:sz w:val="22"/>
          <w:szCs w:val="22"/>
          <w:lang w:eastAsia="ja-JP"/>
        </w:rPr>
      </w:pPr>
    </w:p>
    <w:p w14:paraId="74402600" w14:textId="55AA3BB5" w:rsidR="009A18A9" w:rsidRPr="009A18A9" w:rsidRDefault="009A18A9" w:rsidP="009A18A9">
      <w:pPr>
        <w:jc w:val="both"/>
        <w:rPr>
          <w:i/>
        </w:rPr>
      </w:pPr>
      <w:r w:rsidRPr="001C381A">
        <w:rPr>
          <w:b/>
          <w:i/>
          <w:u w:val="single"/>
        </w:rPr>
        <w:t xml:space="preserve">Proposal </w:t>
      </w:r>
      <w:r>
        <w:rPr>
          <w:b/>
          <w:i/>
          <w:u w:val="single"/>
        </w:rPr>
        <w:t>11</w:t>
      </w:r>
      <w:r w:rsidRPr="001C381A">
        <w:rPr>
          <w:b/>
          <w:i/>
          <w:u w:val="single"/>
        </w:rPr>
        <w:t>:</w:t>
      </w:r>
      <w:r w:rsidRPr="001C381A">
        <w:rPr>
          <w:i/>
        </w:rPr>
        <w:t xml:space="preserve"> </w:t>
      </w:r>
      <w:r>
        <w:rPr>
          <w:i/>
        </w:rPr>
        <w:t>HARQ process ID of a configured grant is determined by the physical resource of the first sidelink transmission. A sidelink configured grant configuration includes its associated HARQ process IDs.</w:t>
      </w:r>
    </w:p>
    <w:p w14:paraId="2E75F001" w14:textId="77777777" w:rsidR="007E70BB" w:rsidRPr="00A6576F" w:rsidRDefault="005C63AE" w:rsidP="007E70BB">
      <w:pPr>
        <w:pStyle w:val="Heading1"/>
      </w:pPr>
      <w:r w:rsidRPr="00A6576F">
        <w:t>References</w:t>
      </w:r>
    </w:p>
    <w:p w14:paraId="3BED6820" w14:textId="77777777" w:rsidR="00446D27" w:rsidRDefault="00446D27" w:rsidP="00446D2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23838761"/>
      <w:bookmarkStart w:id="2" w:name="_Ref20471832"/>
      <w:bookmarkStart w:id="3" w:name="_Ref20563970"/>
      <w:r w:rsidRPr="006400C7">
        <w:t>Chairman’s Notes, 3GPP TSG RAN</w:t>
      </w:r>
      <w:r>
        <w:t xml:space="preserve"> </w:t>
      </w:r>
      <w:r w:rsidRPr="006400C7">
        <w:t>#</w:t>
      </w:r>
      <w:r>
        <w:t>86</w:t>
      </w:r>
      <w:r w:rsidRPr="006400C7">
        <w:t xml:space="preserve"> Meeting, </w:t>
      </w:r>
      <w:r>
        <w:t>Sitges, ES, Dec</w:t>
      </w:r>
      <w:r w:rsidRPr="006400C7">
        <w:t>. 2019.</w:t>
      </w:r>
    </w:p>
    <w:p w14:paraId="1DC061C7" w14:textId="5C94DABD" w:rsidR="00446D27" w:rsidRDefault="00446D27" w:rsidP="00446D2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29545847"/>
      <w:r>
        <w:t>RP-193198, Task list for 5G V2X in RAN1 #100, Sitges, ES, Dec. 2019.</w:t>
      </w:r>
      <w:bookmarkEnd w:id="4"/>
      <w:r>
        <w:t xml:space="preserve"> </w:t>
      </w:r>
    </w:p>
    <w:p w14:paraId="55985D4D" w14:textId="0A1D1B7A" w:rsidR="00446D27" w:rsidRPr="007A4103" w:rsidRDefault="00446D27" w:rsidP="00446D2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30167377"/>
      <w:r w:rsidRPr="007A4103">
        <w:t>R1-200</w:t>
      </w:r>
      <w:r w:rsidR="007A4103" w:rsidRPr="007A4103">
        <w:t>0850</w:t>
      </w:r>
      <w:r w:rsidRPr="007A4103">
        <w:t xml:space="preserve">, “Remaining details on </w:t>
      </w:r>
      <w:r w:rsidR="009A18A9" w:rsidRPr="007A4103">
        <w:t xml:space="preserve">NR V2X </w:t>
      </w:r>
      <w:r w:rsidRPr="007A4103">
        <w:t>physical layer structure”, Apple, Feb. 2020.</w:t>
      </w:r>
      <w:bookmarkEnd w:id="5"/>
    </w:p>
    <w:p w14:paraId="1E071673" w14:textId="77777777" w:rsidR="00446D27" w:rsidRDefault="00446D27" w:rsidP="00745B2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23931654"/>
      <w:bookmarkStart w:id="7" w:name="_Ref23954211"/>
      <w:bookmarkStart w:id="8" w:name="_Ref30341138"/>
      <w:r w:rsidRPr="00574DDB">
        <w:t>Chairman’s Notes, 3GPP TSG RAN1 WG1 #9</w:t>
      </w:r>
      <w:r>
        <w:t>9</w:t>
      </w:r>
      <w:r w:rsidRPr="00574DDB">
        <w:t xml:space="preserve"> Meeting, </w:t>
      </w:r>
      <w:r>
        <w:t>Reno</w:t>
      </w:r>
      <w:r w:rsidRPr="00574DDB">
        <w:t xml:space="preserve">, </w:t>
      </w:r>
      <w:r>
        <w:t>USA</w:t>
      </w:r>
      <w:r w:rsidRPr="00574DDB">
        <w:t xml:space="preserve">, </w:t>
      </w:r>
      <w:r>
        <w:t>Nov</w:t>
      </w:r>
      <w:r w:rsidRPr="00574DDB">
        <w:t>. 2019</w:t>
      </w:r>
      <w:bookmarkStart w:id="9" w:name="_Ref30168219"/>
      <w:bookmarkEnd w:id="6"/>
      <w:bookmarkEnd w:id="7"/>
      <w:r>
        <w:t>.</w:t>
      </w:r>
      <w:bookmarkEnd w:id="8"/>
    </w:p>
    <w:p w14:paraId="159B9E7A" w14:textId="10F4FDE4" w:rsidR="00302FC8" w:rsidRDefault="00302FC8" w:rsidP="00745B23">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30168902"/>
      <w:r w:rsidRPr="00546C2A">
        <w:t>Chairman’s Notes, 3GPP TSG RAN1 WG1 #98</w:t>
      </w:r>
      <w:r>
        <w:t>bis</w:t>
      </w:r>
      <w:r w:rsidRPr="00546C2A">
        <w:t xml:space="preserve"> Meeting, </w:t>
      </w:r>
      <w:r>
        <w:t>Chongqing</w:t>
      </w:r>
      <w:r w:rsidRPr="00546C2A">
        <w:t>, C</w:t>
      </w:r>
      <w:r>
        <w:t>hina</w:t>
      </w:r>
      <w:r w:rsidRPr="00546C2A">
        <w:t xml:space="preserve">, </w:t>
      </w:r>
      <w:r>
        <w:t>Oct</w:t>
      </w:r>
      <w:r w:rsidRPr="00546C2A">
        <w:t>. 2019.</w:t>
      </w:r>
      <w:bookmarkEnd w:id="1"/>
      <w:bookmarkEnd w:id="9"/>
      <w:bookmarkEnd w:id="10"/>
    </w:p>
    <w:p w14:paraId="467B8D53" w14:textId="211D90E1" w:rsidR="00A6576F" w:rsidRDefault="007823BE" w:rsidP="00EB2E5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23769852"/>
      <w:bookmarkStart w:id="12" w:name="_Ref30280837"/>
      <w:r>
        <w:t xml:space="preserve">3GPP email discussion on </w:t>
      </w:r>
      <w:r w:rsidR="0061731A">
        <w:t>sidelink HARQ report contents</w:t>
      </w:r>
      <w:r>
        <w:t>, [98b-NR-12], Oct. 2019</w:t>
      </w:r>
      <w:bookmarkEnd w:id="2"/>
      <w:bookmarkEnd w:id="3"/>
      <w:bookmarkEnd w:id="11"/>
      <w:r w:rsidR="00DA0C79">
        <w:t>.</w:t>
      </w:r>
      <w:bookmarkEnd w:id="12"/>
      <w:r w:rsidR="007F1BA7" w:rsidRPr="00546C2A">
        <w:t xml:space="preserve"> </w:t>
      </w:r>
    </w:p>
    <w:p w14:paraId="064BD3DF" w14:textId="31731F3D" w:rsidR="00EB2E5A" w:rsidRDefault="00EB2E5A" w:rsidP="005B7B2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30281067"/>
      <w:r>
        <w:t xml:space="preserve">3GPP email discussion on </w:t>
      </w:r>
      <w:r>
        <w:rPr>
          <w:bCs/>
          <w:szCs w:val="20"/>
          <w:lang w:eastAsia="x-none"/>
        </w:rPr>
        <w:t xml:space="preserve">multiplexing of </w:t>
      </w:r>
      <w:r>
        <w:t>sidelink HARQ-ACKs, [98b-NR-13], Oct. 2019.</w:t>
      </w:r>
      <w:bookmarkEnd w:id="13"/>
      <w:r w:rsidRPr="00546C2A">
        <w:t xml:space="preserve"> </w:t>
      </w:r>
    </w:p>
    <w:sectPr w:rsidR="00EB2E5A"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E9FAA" w14:textId="77777777" w:rsidR="00C07717" w:rsidRDefault="00C07717">
      <w:r>
        <w:separator/>
      </w:r>
    </w:p>
  </w:endnote>
  <w:endnote w:type="continuationSeparator" w:id="0">
    <w:p w14:paraId="7AF59C59" w14:textId="77777777" w:rsidR="00C07717" w:rsidRDefault="00C07717">
      <w:r>
        <w:continuationSeparator/>
      </w:r>
    </w:p>
  </w:endnote>
  <w:endnote w:type="continuationNotice" w:id="1">
    <w:p w14:paraId="214E9E83" w14:textId="77777777" w:rsidR="00C07717" w:rsidRDefault="00C077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DA3F8A" w:rsidRDefault="00DA3F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D8C55" w14:textId="77777777" w:rsidR="00C07717" w:rsidRDefault="00C07717">
      <w:r>
        <w:separator/>
      </w:r>
    </w:p>
  </w:footnote>
  <w:footnote w:type="continuationSeparator" w:id="0">
    <w:p w14:paraId="29191B61" w14:textId="77777777" w:rsidR="00C07717" w:rsidRDefault="00C07717">
      <w:r>
        <w:continuationSeparator/>
      </w:r>
    </w:p>
  </w:footnote>
  <w:footnote w:type="continuationNotice" w:id="1">
    <w:p w14:paraId="753AB361" w14:textId="77777777" w:rsidR="00C07717" w:rsidRDefault="00C077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6853E5"/>
    <w:multiLevelType w:val="hybridMultilevel"/>
    <w:tmpl w:val="633A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63C67"/>
    <w:multiLevelType w:val="hybridMultilevel"/>
    <w:tmpl w:val="131207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7B629C0"/>
    <w:multiLevelType w:val="hybridMultilevel"/>
    <w:tmpl w:val="392CC518"/>
    <w:lvl w:ilvl="0" w:tplc="E406431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5382E"/>
    <w:multiLevelType w:val="multilevel"/>
    <w:tmpl w:val="1332D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EF7256"/>
    <w:multiLevelType w:val="multilevel"/>
    <w:tmpl w:val="571C1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2F5F8B"/>
    <w:multiLevelType w:val="multilevel"/>
    <w:tmpl w:val="4B9AB2E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103DE3"/>
    <w:multiLevelType w:val="hybridMultilevel"/>
    <w:tmpl w:val="EB46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895560"/>
    <w:multiLevelType w:val="hybridMultilevel"/>
    <w:tmpl w:val="22E63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6051CB"/>
    <w:multiLevelType w:val="multilevel"/>
    <w:tmpl w:val="29A2B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313EA2"/>
    <w:multiLevelType w:val="multilevel"/>
    <w:tmpl w:val="3A205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4"/>
  </w:num>
  <w:num w:numId="4">
    <w:abstractNumId w:val="15"/>
  </w:num>
  <w:num w:numId="5">
    <w:abstractNumId w:val="9"/>
  </w:num>
  <w:num w:numId="6">
    <w:abstractNumId w:val="18"/>
  </w:num>
  <w:num w:numId="7">
    <w:abstractNumId w:val="25"/>
  </w:num>
  <w:num w:numId="8">
    <w:abstractNumId w:val="10"/>
  </w:num>
  <w:num w:numId="9">
    <w:abstractNumId w:val="22"/>
  </w:num>
  <w:num w:numId="10">
    <w:abstractNumId w:val="0"/>
  </w:num>
  <w:num w:numId="11">
    <w:abstractNumId w:val="30"/>
  </w:num>
  <w:num w:numId="12">
    <w:abstractNumId w:val="3"/>
  </w:num>
  <w:num w:numId="13">
    <w:abstractNumId w:val="23"/>
  </w:num>
  <w:num w:numId="14">
    <w:abstractNumId w:val="17"/>
  </w:num>
  <w:num w:numId="15">
    <w:abstractNumId w:val="31"/>
  </w:num>
  <w:num w:numId="16">
    <w:abstractNumId w:val="34"/>
  </w:num>
  <w:num w:numId="17">
    <w:abstractNumId w:val="8"/>
  </w:num>
  <w:num w:numId="18">
    <w:abstractNumId w:val="28"/>
  </w:num>
  <w:num w:numId="19">
    <w:abstractNumId w:val="4"/>
  </w:num>
  <w:num w:numId="20">
    <w:abstractNumId w:val="29"/>
  </w:num>
  <w:num w:numId="21">
    <w:abstractNumId w:val="32"/>
  </w:num>
  <w:num w:numId="22">
    <w:abstractNumId w:val="21"/>
  </w:num>
  <w:num w:numId="23">
    <w:abstractNumId w:val="7"/>
  </w:num>
  <w:num w:numId="24">
    <w:abstractNumId w:val="11"/>
  </w:num>
  <w:num w:numId="25">
    <w:abstractNumId w:val="24"/>
  </w:num>
  <w:num w:numId="26">
    <w:abstractNumId w:val="33"/>
  </w:num>
  <w:num w:numId="27">
    <w:abstractNumId w:val="13"/>
  </w:num>
  <w:num w:numId="28">
    <w:abstractNumId w:val="27"/>
  </w:num>
  <w:num w:numId="29">
    <w:abstractNumId w:val="26"/>
  </w:num>
  <w:num w:numId="30">
    <w:abstractNumId w:val="2"/>
  </w:num>
  <w:num w:numId="31">
    <w:abstractNumId w:val="12"/>
  </w:num>
  <w:num w:numId="32">
    <w:abstractNumId w:val="16"/>
  </w:num>
  <w:num w:numId="33">
    <w:abstractNumId w:val="5"/>
  </w:num>
  <w:num w:numId="34">
    <w:abstractNumId w:val="19"/>
  </w:num>
  <w:num w:numId="3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1C4C"/>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34F"/>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2C89"/>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896"/>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614"/>
    <w:rsid w:val="000C7FBF"/>
    <w:rsid w:val="000D05B3"/>
    <w:rsid w:val="000D0D07"/>
    <w:rsid w:val="000D0DA1"/>
    <w:rsid w:val="000D0DD0"/>
    <w:rsid w:val="000D0EFF"/>
    <w:rsid w:val="000D17F5"/>
    <w:rsid w:val="000D1D69"/>
    <w:rsid w:val="000D1F2E"/>
    <w:rsid w:val="000D1F94"/>
    <w:rsid w:val="000D2961"/>
    <w:rsid w:val="000D4797"/>
    <w:rsid w:val="000D4B25"/>
    <w:rsid w:val="000D4BE8"/>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29C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3C80"/>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130D"/>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27D6"/>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BFF"/>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605"/>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6B0A"/>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0D8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4CD"/>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497B"/>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3A"/>
    <w:rsid w:val="002F37A9"/>
    <w:rsid w:val="002F455D"/>
    <w:rsid w:val="002F4597"/>
    <w:rsid w:val="002F459D"/>
    <w:rsid w:val="002F4940"/>
    <w:rsid w:val="002F49ED"/>
    <w:rsid w:val="002F4EEB"/>
    <w:rsid w:val="002F4F23"/>
    <w:rsid w:val="002F539B"/>
    <w:rsid w:val="002F6AD8"/>
    <w:rsid w:val="002F6C3F"/>
    <w:rsid w:val="002F7102"/>
    <w:rsid w:val="002F7457"/>
    <w:rsid w:val="002F7A06"/>
    <w:rsid w:val="00300043"/>
    <w:rsid w:val="0030029C"/>
    <w:rsid w:val="00301779"/>
    <w:rsid w:val="00301CE6"/>
    <w:rsid w:val="00301ECA"/>
    <w:rsid w:val="0030256B"/>
    <w:rsid w:val="003025A6"/>
    <w:rsid w:val="00302762"/>
    <w:rsid w:val="00302FC8"/>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219"/>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028"/>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DEE"/>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33DB"/>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24"/>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40E"/>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97B"/>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6D27"/>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BDB"/>
    <w:rsid w:val="00497DA1"/>
    <w:rsid w:val="004A02A2"/>
    <w:rsid w:val="004A0369"/>
    <w:rsid w:val="004A056F"/>
    <w:rsid w:val="004A155E"/>
    <w:rsid w:val="004A16BC"/>
    <w:rsid w:val="004A170E"/>
    <w:rsid w:val="004A1C33"/>
    <w:rsid w:val="004A1FC9"/>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2B24"/>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02C6"/>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557"/>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4D11"/>
    <w:rsid w:val="00545492"/>
    <w:rsid w:val="00545CBE"/>
    <w:rsid w:val="005465AF"/>
    <w:rsid w:val="00546970"/>
    <w:rsid w:val="00546C2A"/>
    <w:rsid w:val="00546D31"/>
    <w:rsid w:val="00546D5A"/>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5CFE"/>
    <w:rsid w:val="00556504"/>
    <w:rsid w:val="00556E14"/>
    <w:rsid w:val="00560280"/>
    <w:rsid w:val="00560304"/>
    <w:rsid w:val="005611C9"/>
    <w:rsid w:val="0056121F"/>
    <w:rsid w:val="00561658"/>
    <w:rsid w:val="005617CF"/>
    <w:rsid w:val="00561C13"/>
    <w:rsid w:val="00561D43"/>
    <w:rsid w:val="005623B3"/>
    <w:rsid w:val="00562990"/>
    <w:rsid w:val="00562A67"/>
    <w:rsid w:val="00562A71"/>
    <w:rsid w:val="00562EB7"/>
    <w:rsid w:val="00563697"/>
    <w:rsid w:val="00563845"/>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6876"/>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6EB"/>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B7B22"/>
    <w:rsid w:val="005C1E43"/>
    <w:rsid w:val="005C2797"/>
    <w:rsid w:val="005C2D16"/>
    <w:rsid w:val="005C2ED9"/>
    <w:rsid w:val="005C31DE"/>
    <w:rsid w:val="005C33E1"/>
    <w:rsid w:val="005C3FC9"/>
    <w:rsid w:val="005C4245"/>
    <w:rsid w:val="005C4532"/>
    <w:rsid w:val="005C495F"/>
    <w:rsid w:val="005C557E"/>
    <w:rsid w:val="005C57BC"/>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73F"/>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31A"/>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14"/>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1D8"/>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6FCE"/>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1AF6"/>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8B"/>
    <w:rsid w:val="007755F2"/>
    <w:rsid w:val="007757B1"/>
    <w:rsid w:val="00775ACC"/>
    <w:rsid w:val="007762C9"/>
    <w:rsid w:val="00776800"/>
    <w:rsid w:val="00776971"/>
    <w:rsid w:val="00777396"/>
    <w:rsid w:val="00777B08"/>
    <w:rsid w:val="00777CEB"/>
    <w:rsid w:val="00777D00"/>
    <w:rsid w:val="007802A7"/>
    <w:rsid w:val="00780462"/>
    <w:rsid w:val="00780D5D"/>
    <w:rsid w:val="007813B7"/>
    <w:rsid w:val="0078177E"/>
    <w:rsid w:val="007823BE"/>
    <w:rsid w:val="00782881"/>
    <w:rsid w:val="00782B37"/>
    <w:rsid w:val="00782D5B"/>
    <w:rsid w:val="00782FB4"/>
    <w:rsid w:val="00782FC9"/>
    <w:rsid w:val="00783032"/>
    <w:rsid w:val="0078304C"/>
    <w:rsid w:val="00783102"/>
    <w:rsid w:val="0078315C"/>
    <w:rsid w:val="00783673"/>
    <w:rsid w:val="00783E02"/>
    <w:rsid w:val="0078518F"/>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D4D"/>
    <w:rsid w:val="007A2CF7"/>
    <w:rsid w:val="007A306F"/>
    <w:rsid w:val="007A3472"/>
    <w:rsid w:val="007A3C8F"/>
    <w:rsid w:val="007A4023"/>
    <w:rsid w:val="007A410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16D"/>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BA4"/>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55C"/>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4A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18D"/>
    <w:rsid w:val="00911503"/>
    <w:rsid w:val="00911DFB"/>
    <w:rsid w:val="009124D3"/>
    <w:rsid w:val="00912ECE"/>
    <w:rsid w:val="00912FC7"/>
    <w:rsid w:val="009139D9"/>
    <w:rsid w:val="00914178"/>
    <w:rsid w:val="00914AD8"/>
    <w:rsid w:val="009154AA"/>
    <w:rsid w:val="00915975"/>
    <w:rsid w:val="00916079"/>
    <w:rsid w:val="0091625A"/>
    <w:rsid w:val="00916569"/>
    <w:rsid w:val="0091692E"/>
    <w:rsid w:val="00917948"/>
    <w:rsid w:val="00917CE9"/>
    <w:rsid w:val="00917E11"/>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54C3"/>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3049"/>
    <w:rsid w:val="009931A8"/>
    <w:rsid w:val="00994816"/>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18A9"/>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89C"/>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A60"/>
    <w:rsid w:val="009F2069"/>
    <w:rsid w:val="009F2CBD"/>
    <w:rsid w:val="009F344F"/>
    <w:rsid w:val="009F390C"/>
    <w:rsid w:val="009F427D"/>
    <w:rsid w:val="009F4B63"/>
    <w:rsid w:val="009F5E13"/>
    <w:rsid w:val="009F5E2F"/>
    <w:rsid w:val="009F5EAE"/>
    <w:rsid w:val="009F6C80"/>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4BF"/>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17"/>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1E9"/>
    <w:rsid w:val="00A50307"/>
    <w:rsid w:val="00A5094F"/>
    <w:rsid w:val="00A50986"/>
    <w:rsid w:val="00A50D8F"/>
    <w:rsid w:val="00A50F47"/>
    <w:rsid w:val="00A51E0C"/>
    <w:rsid w:val="00A52210"/>
    <w:rsid w:val="00A5266E"/>
    <w:rsid w:val="00A52C03"/>
    <w:rsid w:val="00A52C0A"/>
    <w:rsid w:val="00A52DB3"/>
    <w:rsid w:val="00A52E1D"/>
    <w:rsid w:val="00A5358E"/>
    <w:rsid w:val="00A53BD7"/>
    <w:rsid w:val="00A54279"/>
    <w:rsid w:val="00A54432"/>
    <w:rsid w:val="00A54D8D"/>
    <w:rsid w:val="00A55B22"/>
    <w:rsid w:val="00A55B28"/>
    <w:rsid w:val="00A5629A"/>
    <w:rsid w:val="00A56798"/>
    <w:rsid w:val="00A56BB7"/>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D91"/>
    <w:rsid w:val="00A93E4E"/>
    <w:rsid w:val="00A9442A"/>
    <w:rsid w:val="00A94B28"/>
    <w:rsid w:val="00A94B9D"/>
    <w:rsid w:val="00A951DB"/>
    <w:rsid w:val="00A952DB"/>
    <w:rsid w:val="00A956B7"/>
    <w:rsid w:val="00A956F8"/>
    <w:rsid w:val="00A95963"/>
    <w:rsid w:val="00A95CD7"/>
    <w:rsid w:val="00A971D1"/>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639"/>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CF9"/>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10B"/>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833"/>
    <w:rsid w:val="00B62AAA"/>
    <w:rsid w:val="00B62B11"/>
    <w:rsid w:val="00B63534"/>
    <w:rsid w:val="00B6366E"/>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133"/>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63"/>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3C"/>
    <w:rsid w:val="00BF1B6B"/>
    <w:rsid w:val="00BF1D89"/>
    <w:rsid w:val="00BF26D4"/>
    <w:rsid w:val="00BF2925"/>
    <w:rsid w:val="00BF3077"/>
    <w:rsid w:val="00BF3251"/>
    <w:rsid w:val="00BF3279"/>
    <w:rsid w:val="00BF3B6B"/>
    <w:rsid w:val="00BF3E81"/>
    <w:rsid w:val="00BF3EC8"/>
    <w:rsid w:val="00BF4D66"/>
    <w:rsid w:val="00BF4E38"/>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71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3D6"/>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9B2"/>
    <w:rsid w:val="00CC4C07"/>
    <w:rsid w:val="00CC745E"/>
    <w:rsid w:val="00CC7B45"/>
    <w:rsid w:val="00CD0521"/>
    <w:rsid w:val="00CD0676"/>
    <w:rsid w:val="00CD0D28"/>
    <w:rsid w:val="00CD0DD8"/>
    <w:rsid w:val="00CD0FCF"/>
    <w:rsid w:val="00CD1072"/>
    <w:rsid w:val="00CD1188"/>
    <w:rsid w:val="00CD1487"/>
    <w:rsid w:val="00CD160F"/>
    <w:rsid w:val="00CD26B1"/>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1247"/>
    <w:rsid w:val="00D72099"/>
    <w:rsid w:val="00D73192"/>
    <w:rsid w:val="00D73427"/>
    <w:rsid w:val="00D73A16"/>
    <w:rsid w:val="00D74277"/>
    <w:rsid w:val="00D74AEC"/>
    <w:rsid w:val="00D75936"/>
    <w:rsid w:val="00D7751A"/>
    <w:rsid w:val="00D77B1D"/>
    <w:rsid w:val="00D8021F"/>
    <w:rsid w:val="00D80383"/>
    <w:rsid w:val="00D80ADB"/>
    <w:rsid w:val="00D80B3E"/>
    <w:rsid w:val="00D8146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C79"/>
    <w:rsid w:val="00DA15B5"/>
    <w:rsid w:val="00DA1C45"/>
    <w:rsid w:val="00DA1DF4"/>
    <w:rsid w:val="00DA20FC"/>
    <w:rsid w:val="00DA25B1"/>
    <w:rsid w:val="00DA305E"/>
    <w:rsid w:val="00DA3477"/>
    <w:rsid w:val="00DA358A"/>
    <w:rsid w:val="00DA3F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4DE"/>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DAF"/>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37A"/>
    <w:rsid w:val="00E67540"/>
    <w:rsid w:val="00E677DD"/>
    <w:rsid w:val="00E67998"/>
    <w:rsid w:val="00E67C51"/>
    <w:rsid w:val="00E7011B"/>
    <w:rsid w:val="00E7069F"/>
    <w:rsid w:val="00E72914"/>
    <w:rsid w:val="00E72EFA"/>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5B6"/>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926"/>
    <w:rsid w:val="00EA6A36"/>
    <w:rsid w:val="00EA6EDB"/>
    <w:rsid w:val="00EA7056"/>
    <w:rsid w:val="00EA70B1"/>
    <w:rsid w:val="00EA7A41"/>
    <w:rsid w:val="00EB046F"/>
    <w:rsid w:val="00EB077B"/>
    <w:rsid w:val="00EB21E2"/>
    <w:rsid w:val="00EB22DA"/>
    <w:rsid w:val="00EB2E5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E7DA5"/>
    <w:rsid w:val="00EF128D"/>
    <w:rsid w:val="00EF15EF"/>
    <w:rsid w:val="00EF18FE"/>
    <w:rsid w:val="00EF19A7"/>
    <w:rsid w:val="00EF25EC"/>
    <w:rsid w:val="00EF2F9E"/>
    <w:rsid w:val="00EF2FA6"/>
    <w:rsid w:val="00EF361E"/>
    <w:rsid w:val="00EF3A90"/>
    <w:rsid w:val="00EF4364"/>
    <w:rsid w:val="00EF46EC"/>
    <w:rsid w:val="00EF511A"/>
    <w:rsid w:val="00EF513A"/>
    <w:rsid w:val="00EF515C"/>
    <w:rsid w:val="00EF5787"/>
    <w:rsid w:val="00EF591D"/>
    <w:rsid w:val="00EF5B44"/>
    <w:rsid w:val="00EF5F18"/>
    <w:rsid w:val="00EF60D0"/>
    <w:rsid w:val="00EF6FAF"/>
    <w:rsid w:val="00EF783B"/>
    <w:rsid w:val="00EF78F3"/>
    <w:rsid w:val="00EF79AC"/>
    <w:rsid w:val="00EF7F5C"/>
    <w:rsid w:val="00F000C5"/>
    <w:rsid w:val="00F00ADD"/>
    <w:rsid w:val="00F01846"/>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69BC"/>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43C"/>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EA9"/>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5A6"/>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A1FC9"/>
    <w:rPr>
      <w:rFonts w:ascii="Times New Roman" w:eastAsia="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lang w:eastAsia="en-US"/>
    </w:rPr>
  </w:style>
  <w:style w:type="paragraph" w:styleId="Heading7">
    <w:name w:val="heading 7"/>
    <w:basedOn w:val="Normal"/>
    <w:next w:val="Normal"/>
    <w:qFormat/>
    <w:rsid w:val="00A52210"/>
    <w:pPr>
      <w:keepNext/>
      <w:keepLines/>
      <w:numPr>
        <w:ilvl w:val="6"/>
        <w:numId w:val="1"/>
      </w:numPr>
      <w:spacing w:before="120"/>
      <w:outlineLvl w:val="6"/>
    </w:pPr>
    <w:rPr>
      <w:rFonts w:cs="Arial"/>
      <w:lang w:eastAsia="en-US"/>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rPr>
      <w:lang w:eastAsia="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lang w:eastAsia="en-U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rPr>
      <w:lang w:eastAsia="en-US"/>
    </w:rPr>
  </w:style>
  <w:style w:type="paragraph" w:styleId="DocumentMap">
    <w:name w:val="Document Map"/>
    <w:basedOn w:val="Normal"/>
    <w:semiHidden/>
    <w:rsid w:val="00A52210"/>
    <w:pPr>
      <w:shd w:val="clear" w:color="auto" w:fill="000080"/>
    </w:pPr>
    <w:rPr>
      <w:rFonts w:ascii="Tahoma" w:hAnsi="Tahoma" w:cs="Tahoma"/>
      <w:lang w:eastAsia="en-US"/>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rPr>
      <w:lang w:eastAsia="en-US"/>
    </w:r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lang w:eastAsia="en-US"/>
    </w:rPr>
  </w:style>
  <w:style w:type="paragraph" w:customStyle="1" w:styleId="3GPPHeader">
    <w:name w:val="3GPP_Header"/>
    <w:basedOn w:val="Normal"/>
    <w:rsid w:val="00A52210"/>
    <w:pPr>
      <w:tabs>
        <w:tab w:val="left" w:pos="1701"/>
        <w:tab w:val="right" w:pos="9639"/>
      </w:tabs>
      <w:spacing w:after="240"/>
    </w:pPr>
    <w:rPr>
      <w:b/>
      <w:lang w:eastAsia="en-US"/>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rPr>
      <w:lang w:eastAsia="en-US"/>
    </w:rPr>
  </w:style>
  <w:style w:type="paragraph" w:styleId="BalloonText">
    <w:name w:val="Balloon Text"/>
    <w:basedOn w:val="Normal"/>
    <w:semiHidden/>
    <w:rsid w:val="00A52210"/>
    <w:rPr>
      <w:rFonts w:ascii="Tahoma" w:hAnsi="Tahoma" w:cs="Tahoma"/>
      <w:sz w:val="16"/>
      <w:szCs w:val="16"/>
      <w:lang w:eastAsia="en-US"/>
    </w:rPr>
  </w:style>
  <w:style w:type="character" w:styleId="PageNumber">
    <w:name w:val="page number"/>
    <w:semiHidden/>
    <w:rsid w:val="00A52210"/>
  </w:style>
  <w:style w:type="paragraph" w:styleId="BodyText">
    <w:name w:val="Body Text"/>
    <w:basedOn w:val="Normal"/>
    <w:link w:val="BodyTextChar"/>
    <w:rsid w:val="00A52210"/>
    <w:rPr>
      <w:lang w:eastAsia="en-US"/>
    </w:rPr>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rPr>
      <w:lang w:eastAsia="en-US"/>
    </w:rPr>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style>
  <w:style w:type="paragraph" w:customStyle="1" w:styleId="B2">
    <w:name w:val="B2"/>
    <w:basedOn w:val="List2"/>
    <w:rsid w:val="00A52210"/>
    <w:pPr>
      <w:spacing w:after="180"/>
    </w:pPr>
  </w:style>
  <w:style w:type="paragraph" w:customStyle="1" w:styleId="B3">
    <w:name w:val="B3"/>
    <w:basedOn w:val="List3"/>
    <w:rsid w:val="00A52210"/>
    <w:pPr>
      <w:spacing w:after="180"/>
    </w:pPr>
  </w:style>
  <w:style w:type="paragraph" w:customStyle="1" w:styleId="B4">
    <w:name w:val="B4"/>
    <w:basedOn w:val="List4"/>
    <w:rsid w:val="00A52210"/>
    <w:pPr>
      <w:spacing w:after="180"/>
    </w:pPr>
  </w:style>
  <w:style w:type="paragraph" w:customStyle="1" w:styleId="Proposal">
    <w:name w:val="Proposal"/>
    <w:basedOn w:val="Normal"/>
    <w:rsid w:val="00570F99"/>
    <w:pPr>
      <w:numPr>
        <w:numId w:val="3"/>
      </w:numPr>
      <w:tabs>
        <w:tab w:val="clear" w:pos="9242"/>
        <w:tab w:val="left" w:pos="1701"/>
      </w:tabs>
      <w:ind w:left="1701" w:hanging="1701"/>
    </w:pPr>
    <w:rPr>
      <w:b/>
      <w:bCs/>
      <w:lang w:eastAsia="en-U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lang w:eastAsia="en-US"/>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rPr>
      <w:lang w:eastAsia="en-US"/>
    </w:r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rPr>
      <w:lang w:eastAsia="en-US"/>
    </w:rPr>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lang w:eastAsia="en-US"/>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4222582">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35962401">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2247153">
      <w:bodyDiv w:val="1"/>
      <w:marLeft w:val="0"/>
      <w:marRight w:val="0"/>
      <w:marTop w:val="0"/>
      <w:marBottom w:val="0"/>
      <w:divBdr>
        <w:top w:val="none" w:sz="0" w:space="0" w:color="auto"/>
        <w:left w:val="none" w:sz="0" w:space="0" w:color="auto"/>
        <w:bottom w:val="none" w:sz="0" w:space="0" w:color="auto"/>
        <w:right w:val="none" w:sz="0" w:space="0" w:color="auto"/>
      </w:divBdr>
      <w:divsChild>
        <w:div w:id="4370210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101557">
              <w:marLeft w:val="0"/>
              <w:marRight w:val="0"/>
              <w:marTop w:val="0"/>
              <w:marBottom w:val="0"/>
              <w:divBdr>
                <w:top w:val="none" w:sz="0" w:space="0" w:color="auto"/>
                <w:left w:val="none" w:sz="0" w:space="0" w:color="auto"/>
                <w:bottom w:val="none" w:sz="0" w:space="0" w:color="auto"/>
                <w:right w:val="none" w:sz="0" w:space="0" w:color="auto"/>
              </w:divBdr>
              <w:divsChild>
                <w:div w:id="394936605">
                  <w:marLeft w:val="0"/>
                  <w:marRight w:val="0"/>
                  <w:marTop w:val="0"/>
                  <w:marBottom w:val="0"/>
                  <w:divBdr>
                    <w:top w:val="none" w:sz="0" w:space="0" w:color="auto"/>
                    <w:left w:val="none" w:sz="0" w:space="0" w:color="auto"/>
                    <w:bottom w:val="none" w:sz="0" w:space="0" w:color="auto"/>
                    <w:right w:val="none" w:sz="0" w:space="0" w:color="auto"/>
                  </w:divBdr>
                  <w:divsChild>
                    <w:div w:id="1291059501">
                      <w:marLeft w:val="0"/>
                      <w:marRight w:val="0"/>
                      <w:marTop w:val="0"/>
                      <w:marBottom w:val="0"/>
                      <w:divBdr>
                        <w:top w:val="none" w:sz="0" w:space="0" w:color="auto"/>
                        <w:left w:val="none" w:sz="0" w:space="0" w:color="auto"/>
                        <w:bottom w:val="none" w:sz="0" w:space="0" w:color="auto"/>
                        <w:right w:val="none" w:sz="0" w:space="0" w:color="auto"/>
                      </w:divBdr>
                      <w:divsChild>
                        <w:div w:id="1526365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7704344">
                              <w:marLeft w:val="0"/>
                              <w:marRight w:val="0"/>
                              <w:marTop w:val="0"/>
                              <w:marBottom w:val="0"/>
                              <w:divBdr>
                                <w:top w:val="none" w:sz="0" w:space="0" w:color="auto"/>
                                <w:left w:val="none" w:sz="0" w:space="0" w:color="auto"/>
                                <w:bottom w:val="none" w:sz="0" w:space="0" w:color="auto"/>
                                <w:right w:val="none" w:sz="0" w:space="0" w:color="auto"/>
                              </w:divBdr>
                              <w:divsChild>
                                <w:div w:id="1312176500">
                                  <w:marLeft w:val="0"/>
                                  <w:marRight w:val="0"/>
                                  <w:marTop w:val="0"/>
                                  <w:marBottom w:val="0"/>
                                  <w:divBdr>
                                    <w:top w:val="none" w:sz="0" w:space="0" w:color="auto"/>
                                    <w:left w:val="none" w:sz="0" w:space="0" w:color="auto"/>
                                    <w:bottom w:val="none" w:sz="0" w:space="0" w:color="auto"/>
                                    <w:right w:val="none" w:sz="0" w:space="0" w:color="auto"/>
                                  </w:divBdr>
                                  <w:divsChild>
                                    <w:div w:id="37702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4320558">
      <w:bodyDiv w:val="1"/>
      <w:marLeft w:val="0"/>
      <w:marRight w:val="0"/>
      <w:marTop w:val="0"/>
      <w:marBottom w:val="0"/>
      <w:divBdr>
        <w:top w:val="none" w:sz="0" w:space="0" w:color="auto"/>
        <w:left w:val="none" w:sz="0" w:space="0" w:color="auto"/>
        <w:bottom w:val="none" w:sz="0" w:space="0" w:color="auto"/>
        <w:right w:val="none" w:sz="0" w:space="0" w:color="auto"/>
      </w:divBdr>
      <w:divsChild>
        <w:div w:id="2318127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5587223">
              <w:marLeft w:val="0"/>
              <w:marRight w:val="0"/>
              <w:marTop w:val="0"/>
              <w:marBottom w:val="0"/>
              <w:divBdr>
                <w:top w:val="none" w:sz="0" w:space="0" w:color="auto"/>
                <w:left w:val="none" w:sz="0" w:space="0" w:color="auto"/>
                <w:bottom w:val="none" w:sz="0" w:space="0" w:color="auto"/>
                <w:right w:val="none" w:sz="0" w:space="0" w:color="auto"/>
              </w:divBdr>
              <w:divsChild>
                <w:div w:id="1772967453">
                  <w:marLeft w:val="0"/>
                  <w:marRight w:val="0"/>
                  <w:marTop w:val="0"/>
                  <w:marBottom w:val="0"/>
                  <w:divBdr>
                    <w:top w:val="none" w:sz="0" w:space="0" w:color="auto"/>
                    <w:left w:val="none" w:sz="0" w:space="0" w:color="auto"/>
                    <w:bottom w:val="none" w:sz="0" w:space="0" w:color="auto"/>
                    <w:right w:val="none" w:sz="0" w:space="0" w:color="auto"/>
                  </w:divBdr>
                  <w:divsChild>
                    <w:div w:id="622151998">
                      <w:marLeft w:val="0"/>
                      <w:marRight w:val="0"/>
                      <w:marTop w:val="0"/>
                      <w:marBottom w:val="0"/>
                      <w:divBdr>
                        <w:top w:val="none" w:sz="0" w:space="0" w:color="auto"/>
                        <w:left w:val="none" w:sz="0" w:space="0" w:color="auto"/>
                        <w:bottom w:val="none" w:sz="0" w:space="0" w:color="auto"/>
                        <w:right w:val="none" w:sz="0" w:space="0" w:color="auto"/>
                      </w:divBdr>
                      <w:divsChild>
                        <w:div w:id="7764826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1531566">
                              <w:marLeft w:val="0"/>
                              <w:marRight w:val="0"/>
                              <w:marTop w:val="0"/>
                              <w:marBottom w:val="0"/>
                              <w:divBdr>
                                <w:top w:val="none" w:sz="0" w:space="0" w:color="auto"/>
                                <w:left w:val="none" w:sz="0" w:space="0" w:color="auto"/>
                                <w:bottom w:val="none" w:sz="0" w:space="0" w:color="auto"/>
                                <w:right w:val="none" w:sz="0" w:space="0" w:color="auto"/>
                              </w:divBdr>
                              <w:divsChild>
                                <w:div w:id="618339557">
                                  <w:marLeft w:val="0"/>
                                  <w:marRight w:val="0"/>
                                  <w:marTop w:val="0"/>
                                  <w:marBottom w:val="0"/>
                                  <w:divBdr>
                                    <w:top w:val="none" w:sz="0" w:space="0" w:color="auto"/>
                                    <w:left w:val="none" w:sz="0" w:space="0" w:color="auto"/>
                                    <w:bottom w:val="none" w:sz="0" w:space="0" w:color="auto"/>
                                    <w:right w:val="none" w:sz="0" w:space="0" w:color="auto"/>
                                  </w:divBdr>
                                  <w:divsChild>
                                    <w:div w:id="90487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E3C4A-FAA0-BB47-BAF0-131D8B184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1243</TotalTime>
  <Pages>7</Pages>
  <Words>2954</Words>
  <Characters>16842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48</cp:revision>
  <cp:lastPrinted>2020-01-28T01:18:00Z</cp:lastPrinted>
  <dcterms:created xsi:type="dcterms:W3CDTF">2019-09-23T23:59:00Z</dcterms:created>
  <dcterms:modified xsi:type="dcterms:W3CDTF">2020-02-15T02:24:00Z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